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9AA" w:rsidRPr="009354BC" w:rsidRDefault="008519AA" w:rsidP="008519AA">
      <w:pPr>
        <w:rPr>
          <w:rFonts w:ascii="Lato" w:hAnsi="Lato"/>
          <w:b/>
          <w:sz w:val="28"/>
        </w:rPr>
      </w:pPr>
      <w:r w:rsidRPr="009354BC">
        <w:rPr>
          <w:rFonts w:ascii="Lato" w:hAnsi="Lato"/>
          <w:b/>
          <w:sz w:val="28"/>
        </w:rPr>
        <w:t>Appendix 2 – Examples of prescribing error and suboptimal prescribing found in the PRACtICe study and 100 prescription study (REVISIT)</w:t>
      </w:r>
    </w:p>
    <w:p w:rsidR="008519AA" w:rsidRPr="009354BC" w:rsidRDefault="008519AA" w:rsidP="008519AA">
      <w:pPr>
        <w:rPr>
          <w:rFonts w:ascii="Lato" w:hAnsi="Lato"/>
          <w:b/>
          <w:sz w:val="28"/>
        </w:rPr>
      </w:pPr>
      <w:r w:rsidRPr="009354BC">
        <w:rPr>
          <w:rFonts w:ascii="Lato" w:hAnsi="Lato"/>
          <w:b/>
          <w:sz w:val="28"/>
        </w:rPr>
        <w:t xml:space="preserve">Right Drug </w:t>
      </w:r>
    </w:p>
    <w:tbl>
      <w:tblPr>
        <w:tblStyle w:val="TableGrid"/>
        <w:tblW w:w="0" w:type="auto"/>
        <w:tblLook w:val="04A0" w:firstRow="1" w:lastRow="0" w:firstColumn="1" w:lastColumn="0" w:noHBand="0" w:noVBand="1"/>
      </w:tblPr>
      <w:tblGrid>
        <w:gridCol w:w="6976"/>
        <w:gridCol w:w="6974"/>
      </w:tblGrid>
      <w:tr w:rsidR="008519AA" w:rsidRPr="009354BC" w:rsidTr="00FF6D16">
        <w:trPr>
          <w:trHeight w:val="512"/>
        </w:trPr>
        <w:tc>
          <w:tcPr>
            <w:tcW w:w="0" w:type="auto"/>
          </w:tcPr>
          <w:p w:rsidR="008519AA" w:rsidRPr="009354BC" w:rsidRDefault="008519AA" w:rsidP="00FF6D16">
            <w:pPr>
              <w:jc w:val="center"/>
              <w:rPr>
                <w:rFonts w:ascii="Lato" w:hAnsi="Lato"/>
                <w:b/>
                <w:sz w:val="28"/>
                <w:szCs w:val="24"/>
              </w:rPr>
            </w:pPr>
            <w:r w:rsidRPr="009354BC">
              <w:rPr>
                <w:rFonts w:ascii="Lato" w:hAnsi="Lato"/>
                <w:b/>
                <w:sz w:val="28"/>
                <w:szCs w:val="24"/>
              </w:rPr>
              <w:t>Prescribing error</w:t>
            </w:r>
          </w:p>
        </w:tc>
        <w:tc>
          <w:tcPr>
            <w:tcW w:w="0" w:type="auto"/>
          </w:tcPr>
          <w:p w:rsidR="008519AA" w:rsidRPr="009354BC" w:rsidRDefault="008519AA" w:rsidP="00FF6D16">
            <w:pPr>
              <w:jc w:val="center"/>
              <w:rPr>
                <w:rFonts w:ascii="Lato" w:hAnsi="Lato"/>
                <w:b/>
                <w:sz w:val="28"/>
                <w:szCs w:val="24"/>
              </w:rPr>
            </w:pPr>
            <w:r w:rsidRPr="009354BC">
              <w:rPr>
                <w:rFonts w:ascii="Lato" w:hAnsi="Lato"/>
                <w:b/>
                <w:sz w:val="28"/>
                <w:szCs w:val="24"/>
              </w:rPr>
              <w:t>Sub-optimal prescribing event</w:t>
            </w:r>
          </w:p>
        </w:tc>
      </w:tr>
      <w:tr w:rsidR="008519AA" w:rsidRPr="009354BC" w:rsidTr="00FF6D16">
        <w:trPr>
          <w:trHeight w:val="1440"/>
        </w:trPr>
        <w:tc>
          <w:tcPr>
            <w:tcW w:w="0" w:type="auto"/>
            <w:hideMark/>
          </w:tcPr>
          <w:p w:rsidR="008519AA" w:rsidRPr="009354BC" w:rsidRDefault="008519AA" w:rsidP="00FF6D16">
            <w:pPr>
              <w:rPr>
                <w:rFonts w:ascii="Lato" w:hAnsi="Lato"/>
              </w:rPr>
            </w:pPr>
            <w:r w:rsidRPr="009354BC">
              <w:rPr>
                <w:rFonts w:ascii="Lato" w:hAnsi="Lato"/>
                <w:sz w:val="24"/>
                <w:szCs w:val="24"/>
              </w:rPr>
              <w:t>Incorrect drug chosen for clearly documented current clinical requirements.  Includes all forms of m</w:t>
            </w:r>
            <w:bookmarkStart w:id="0" w:name="_GoBack"/>
            <w:bookmarkEnd w:id="0"/>
            <w:r w:rsidRPr="009354BC">
              <w:rPr>
                <w:rFonts w:ascii="Lato" w:hAnsi="Lato"/>
                <w:sz w:val="24"/>
                <w:szCs w:val="24"/>
              </w:rPr>
              <w:t>edication.</w:t>
            </w:r>
            <w:r w:rsidRPr="009354BC">
              <w:rPr>
                <w:rFonts w:ascii="Lato" w:hAnsi="Lato"/>
              </w:rPr>
              <w:t xml:space="preserve"> </w:t>
            </w:r>
          </w:p>
          <w:p w:rsidR="008519AA" w:rsidRPr="009354BC" w:rsidRDefault="008519AA" w:rsidP="00FF6D16">
            <w:pPr>
              <w:rPr>
                <w:rFonts w:ascii="Lato" w:hAnsi="Lato"/>
                <w:sz w:val="24"/>
                <w:szCs w:val="24"/>
              </w:rPr>
            </w:pPr>
            <w:r w:rsidRPr="009354BC">
              <w:rPr>
                <w:rFonts w:ascii="Lato" w:hAnsi="Lato"/>
                <w:i/>
              </w:rPr>
              <w:t>Example: a)</w:t>
            </w:r>
            <w:r w:rsidRPr="009354BC">
              <w:rPr>
                <w:rFonts w:ascii="Lato" w:hAnsi="Lato"/>
                <w:i/>
                <w:sz w:val="24"/>
                <w:szCs w:val="24"/>
              </w:rPr>
              <w:t xml:space="preserve"> Hydrocortisone butyrate cream selected for use on child's face instead of standard hydrocortisone cream. </w:t>
            </w:r>
            <w:proofErr w:type="gramStart"/>
            <w:r w:rsidRPr="009354BC">
              <w:rPr>
                <w:rFonts w:ascii="Lato" w:hAnsi="Lato"/>
                <w:i/>
                <w:sz w:val="24"/>
                <w:szCs w:val="24"/>
              </w:rPr>
              <w:t>b)Gabapentin</w:t>
            </w:r>
            <w:proofErr w:type="gramEnd"/>
            <w:r w:rsidRPr="009354BC">
              <w:rPr>
                <w:rFonts w:ascii="Lato" w:hAnsi="Lato"/>
                <w:i/>
                <w:sz w:val="24"/>
                <w:szCs w:val="24"/>
              </w:rPr>
              <w:t xml:space="preserve"> prescribed for costochondritis without trying any other possible analgesia including NSAIDs.</w:t>
            </w:r>
          </w:p>
        </w:tc>
        <w:tc>
          <w:tcPr>
            <w:tcW w:w="0" w:type="auto"/>
          </w:tcPr>
          <w:p w:rsidR="008519AA" w:rsidRPr="009354BC" w:rsidRDefault="008519AA" w:rsidP="00FF6D16">
            <w:pPr>
              <w:rPr>
                <w:rFonts w:ascii="Lato" w:hAnsi="Lato"/>
                <w:sz w:val="24"/>
                <w:szCs w:val="24"/>
              </w:rPr>
            </w:pPr>
            <w:r w:rsidRPr="009354BC">
              <w:rPr>
                <w:rFonts w:ascii="Lato" w:hAnsi="Lato"/>
                <w:sz w:val="24"/>
                <w:szCs w:val="24"/>
              </w:rPr>
              <w:t>Prescription of a second line antimicrobial therapy according to local antimicrobial guidelines without documentation to explain choice</w:t>
            </w:r>
          </w:p>
          <w:p w:rsidR="008519AA" w:rsidRPr="009354BC" w:rsidRDefault="008519AA" w:rsidP="00FF6D16">
            <w:pPr>
              <w:rPr>
                <w:rFonts w:ascii="Lato" w:hAnsi="Lato"/>
                <w:i/>
                <w:sz w:val="24"/>
                <w:szCs w:val="24"/>
              </w:rPr>
            </w:pPr>
            <w:r w:rsidRPr="009354BC">
              <w:rPr>
                <w:rFonts w:ascii="Lato" w:hAnsi="Lato"/>
                <w:i/>
                <w:sz w:val="24"/>
                <w:szCs w:val="24"/>
              </w:rPr>
              <w:t xml:space="preserve">Example: Second line </w:t>
            </w:r>
            <w:proofErr w:type="spellStart"/>
            <w:r w:rsidRPr="009354BC">
              <w:rPr>
                <w:rFonts w:ascii="Lato" w:hAnsi="Lato"/>
                <w:i/>
                <w:sz w:val="24"/>
                <w:szCs w:val="24"/>
              </w:rPr>
              <w:t>H.pylori</w:t>
            </w:r>
            <w:proofErr w:type="spellEnd"/>
            <w:r w:rsidRPr="009354BC">
              <w:rPr>
                <w:rFonts w:ascii="Lato" w:hAnsi="Lato"/>
                <w:i/>
                <w:sz w:val="24"/>
                <w:szCs w:val="24"/>
              </w:rPr>
              <w:t xml:space="preserve"> eradication treatment regimen prescribed.</w:t>
            </w:r>
          </w:p>
        </w:tc>
      </w:tr>
      <w:tr w:rsidR="008519AA" w:rsidRPr="009354BC" w:rsidTr="00FF6D16">
        <w:trPr>
          <w:trHeight w:val="720"/>
        </w:trPr>
        <w:tc>
          <w:tcPr>
            <w:tcW w:w="0" w:type="auto"/>
            <w:hideMark/>
          </w:tcPr>
          <w:p w:rsidR="008519AA" w:rsidRPr="009354BC" w:rsidRDefault="008519AA" w:rsidP="00FF6D16">
            <w:pPr>
              <w:rPr>
                <w:rFonts w:ascii="Lato" w:hAnsi="Lato"/>
                <w:sz w:val="24"/>
                <w:szCs w:val="24"/>
              </w:rPr>
            </w:pPr>
            <w:r w:rsidRPr="009354BC">
              <w:rPr>
                <w:rFonts w:ascii="Lato" w:hAnsi="Lato"/>
                <w:sz w:val="24"/>
                <w:szCs w:val="24"/>
              </w:rPr>
              <w:t>Incorrect drug prescribed when stepping up or down therapy according to guidelines.</w:t>
            </w:r>
          </w:p>
          <w:p w:rsidR="008519AA" w:rsidRPr="009354BC" w:rsidRDefault="008519AA" w:rsidP="00FF6D16">
            <w:pPr>
              <w:rPr>
                <w:rFonts w:ascii="Lato" w:hAnsi="Lato"/>
                <w:sz w:val="24"/>
                <w:szCs w:val="24"/>
              </w:rPr>
            </w:pPr>
            <w:r w:rsidRPr="009354BC">
              <w:rPr>
                <w:rFonts w:ascii="Lato" w:hAnsi="Lato"/>
                <w:i/>
                <w:sz w:val="24"/>
                <w:szCs w:val="24"/>
              </w:rPr>
              <w:t xml:space="preserve">Example: </w:t>
            </w:r>
            <w:proofErr w:type="spellStart"/>
            <w:r w:rsidRPr="009354BC">
              <w:rPr>
                <w:rFonts w:ascii="Lato" w:hAnsi="Lato"/>
                <w:i/>
                <w:sz w:val="24"/>
                <w:szCs w:val="24"/>
              </w:rPr>
              <w:t>Clenil</w:t>
            </w:r>
            <w:proofErr w:type="spellEnd"/>
            <w:r w:rsidRPr="009354BC">
              <w:rPr>
                <w:rFonts w:ascii="Lato" w:hAnsi="Lato"/>
                <w:i/>
                <w:sz w:val="24"/>
                <w:szCs w:val="24"/>
              </w:rPr>
              <w:t xml:space="preserve"> started (after salbutamol) as a first line treatment for someone with possible COPD who was awaiting spirometry</w:t>
            </w:r>
          </w:p>
        </w:tc>
        <w:tc>
          <w:tcPr>
            <w:tcW w:w="0" w:type="auto"/>
          </w:tcPr>
          <w:p w:rsidR="008519AA" w:rsidRPr="009354BC" w:rsidRDefault="008519AA" w:rsidP="00FF6D16">
            <w:pPr>
              <w:rPr>
                <w:rFonts w:ascii="Lato" w:hAnsi="Lato"/>
                <w:sz w:val="24"/>
                <w:szCs w:val="24"/>
              </w:rPr>
            </w:pPr>
            <w:r w:rsidRPr="009354BC">
              <w:rPr>
                <w:rFonts w:ascii="Lato" w:hAnsi="Lato"/>
                <w:sz w:val="24"/>
                <w:szCs w:val="24"/>
              </w:rPr>
              <w:t>Prescribing a topical medication for an unlicensed indication where the possibility of harm from the product is unknown and alternatives are possible</w:t>
            </w:r>
          </w:p>
          <w:p w:rsidR="008519AA" w:rsidRPr="009354BC" w:rsidRDefault="008519AA" w:rsidP="00FF6D16">
            <w:pPr>
              <w:rPr>
                <w:rFonts w:ascii="Lato" w:hAnsi="Lato"/>
                <w:i/>
                <w:sz w:val="24"/>
                <w:szCs w:val="24"/>
              </w:rPr>
            </w:pPr>
            <w:r w:rsidRPr="009354BC">
              <w:rPr>
                <w:rFonts w:ascii="Lato" w:hAnsi="Lato"/>
                <w:i/>
                <w:sz w:val="24"/>
                <w:szCs w:val="24"/>
              </w:rPr>
              <w:t>Example: Ibuprofen gel for head injury resulting in headache and neck pain without stipulating for neck only and no other analgesic provided or recommended.</w:t>
            </w:r>
          </w:p>
        </w:tc>
      </w:tr>
      <w:tr w:rsidR="008519AA" w:rsidRPr="009354BC" w:rsidTr="00FF6D16">
        <w:trPr>
          <w:trHeight w:val="720"/>
        </w:trPr>
        <w:tc>
          <w:tcPr>
            <w:tcW w:w="0" w:type="auto"/>
          </w:tcPr>
          <w:p w:rsidR="008519AA" w:rsidRPr="009354BC" w:rsidRDefault="008519AA" w:rsidP="00FF6D16">
            <w:pPr>
              <w:rPr>
                <w:rFonts w:ascii="Lato" w:hAnsi="Lato" w:cs="Calibri"/>
                <w:color w:val="000000"/>
                <w:sz w:val="24"/>
                <w:szCs w:val="24"/>
              </w:rPr>
            </w:pPr>
            <w:r w:rsidRPr="009354BC">
              <w:rPr>
                <w:rFonts w:ascii="Lato" w:hAnsi="Lato" w:cs="Calibri"/>
                <w:color w:val="000000"/>
                <w:sz w:val="24"/>
                <w:szCs w:val="24"/>
              </w:rPr>
              <w:t>Prescription of a medication that is not clinically required and the evidence in the documentation is clear.</w:t>
            </w:r>
          </w:p>
          <w:p w:rsidR="008519AA" w:rsidRPr="009354BC" w:rsidRDefault="008519AA" w:rsidP="00FF6D16">
            <w:pPr>
              <w:rPr>
                <w:rFonts w:ascii="Lato" w:hAnsi="Lato"/>
                <w:i/>
                <w:sz w:val="24"/>
                <w:szCs w:val="24"/>
              </w:rPr>
            </w:pPr>
            <w:r w:rsidRPr="009354BC">
              <w:rPr>
                <w:rFonts w:ascii="Lato" w:hAnsi="Lato" w:cs="Calibri"/>
                <w:i/>
                <w:color w:val="000000"/>
                <w:sz w:val="24"/>
                <w:szCs w:val="24"/>
              </w:rPr>
              <w:lastRenderedPageBreak/>
              <w:t>Example: Helicobacter eradication treatment prescribed to a patient who is Helicobacter negative.</w:t>
            </w:r>
          </w:p>
        </w:tc>
        <w:tc>
          <w:tcPr>
            <w:tcW w:w="0" w:type="auto"/>
          </w:tcPr>
          <w:p w:rsidR="008519AA" w:rsidRPr="009354BC" w:rsidRDefault="008519AA" w:rsidP="00FF6D16">
            <w:pPr>
              <w:rPr>
                <w:rFonts w:ascii="Lato" w:hAnsi="Lato"/>
                <w:sz w:val="24"/>
                <w:szCs w:val="24"/>
              </w:rPr>
            </w:pPr>
            <w:r w:rsidRPr="009354BC">
              <w:rPr>
                <w:rFonts w:ascii="Lato" w:hAnsi="Lato"/>
                <w:sz w:val="24"/>
                <w:szCs w:val="24"/>
              </w:rPr>
              <w:lastRenderedPageBreak/>
              <w:t xml:space="preserve">Prescription of an opioid analgesic which is likely to be effective but where a non-opioid would be more appropriate </w:t>
            </w:r>
          </w:p>
          <w:p w:rsidR="008519AA" w:rsidRPr="009354BC" w:rsidRDefault="008519AA" w:rsidP="00FF6D16">
            <w:pPr>
              <w:rPr>
                <w:rFonts w:ascii="Lato" w:hAnsi="Lato"/>
                <w:i/>
                <w:sz w:val="24"/>
                <w:szCs w:val="24"/>
              </w:rPr>
            </w:pPr>
            <w:r w:rsidRPr="009354BC">
              <w:rPr>
                <w:rFonts w:ascii="Lato" w:hAnsi="Lato"/>
                <w:i/>
                <w:sz w:val="24"/>
                <w:szCs w:val="24"/>
              </w:rPr>
              <w:lastRenderedPageBreak/>
              <w:t>Example: Tramadol prescribed as only analgesic for biliary colic. Patient would have been suitable for NSAID</w:t>
            </w:r>
          </w:p>
        </w:tc>
      </w:tr>
      <w:tr w:rsidR="008519AA" w:rsidRPr="009354BC" w:rsidTr="00FF6D16">
        <w:trPr>
          <w:trHeight w:val="720"/>
        </w:trPr>
        <w:tc>
          <w:tcPr>
            <w:tcW w:w="0" w:type="auto"/>
          </w:tcPr>
          <w:p w:rsidR="008519AA" w:rsidRPr="009354BC" w:rsidRDefault="008519AA" w:rsidP="00FF6D16">
            <w:pPr>
              <w:rPr>
                <w:rFonts w:ascii="Lato" w:hAnsi="Lato"/>
                <w:sz w:val="24"/>
                <w:szCs w:val="24"/>
              </w:rPr>
            </w:pPr>
            <w:r w:rsidRPr="009354BC">
              <w:rPr>
                <w:rFonts w:ascii="Lato" w:hAnsi="Lato" w:cs="Calibri"/>
                <w:color w:val="000000"/>
                <w:sz w:val="24"/>
                <w:szCs w:val="24"/>
              </w:rPr>
              <w:lastRenderedPageBreak/>
              <w:t xml:space="preserve">Prescription of a drug in circumstances where an allergy to that drug has been recorded and the prescriber documents no reasonable acknowledgement/justification in the clinical record. </w:t>
            </w:r>
          </w:p>
        </w:tc>
        <w:tc>
          <w:tcPr>
            <w:tcW w:w="0" w:type="auto"/>
          </w:tcPr>
          <w:p w:rsidR="008519AA" w:rsidRPr="009354BC" w:rsidRDefault="008519AA" w:rsidP="00FF6D16">
            <w:pPr>
              <w:rPr>
                <w:rFonts w:ascii="Lato" w:hAnsi="Lato"/>
                <w:sz w:val="24"/>
                <w:szCs w:val="24"/>
              </w:rPr>
            </w:pPr>
            <w:r w:rsidRPr="009354BC">
              <w:rPr>
                <w:rFonts w:ascii="Lato" w:hAnsi="Lato"/>
                <w:sz w:val="24"/>
                <w:szCs w:val="24"/>
              </w:rPr>
              <w:t xml:space="preserve">Prescription of a restricted topical antimicrobial agent against local antimicrobial guidelines (but national guidelines suggest prescribed product) </w:t>
            </w:r>
            <w:r w:rsidRPr="009354BC">
              <w:rPr>
                <w:rFonts w:ascii="Lato" w:hAnsi="Lato"/>
                <w:i/>
                <w:sz w:val="24"/>
                <w:szCs w:val="24"/>
              </w:rPr>
              <w:t xml:space="preserve">Example: </w:t>
            </w:r>
            <w:proofErr w:type="spellStart"/>
            <w:r w:rsidRPr="009354BC">
              <w:rPr>
                <w:rFonts w:ascii="Lato" w:hAnsi="Lato"/>
                <w:i/>
                <w:sz w:val="24"/>
                <w:szCs w:val="24"/>
              </w:rPr>
              <w:t>Fusidic</w:t>
            </w:r>
            <w:proofErr w:type="spellEnd"/>
            <w:r w:rsidRPr="009354BC">
              <w:rPr>
                <w:rFonts w:ascii="Lato" w:hAnsi="Lato"/>
                <w:i/>
                <w:sz w:val="24"/>
                <w:szCs w:val="24"/>
              </w:rPr>
              <w:t xml:space="preserve"> acid cream prescribed for impetigo when local guidelines advise topical </w:t>
            </w:r>
            <w:proofErr w:type="spellStart"/>
            <w:r w:rsidRPr="009354BC">
              <w:rPr>
                <w:rFonts w:ascii="Lato" w:hAnsi="Lato"/>
                <w:i/>
                <w:sz w:val="24"/>
                <w:szCs w:val="24"/>
              </w:rPr>
              <w:t>Polyfax</w:t>
            </w:r>
            <w:proofErr w:type="spellEnd"/>
            <w:r w:rsidRPr="009354BC">
              <w:rPr>
                <w:rFonts w:ascii="Lato" w:hAnsi="Lato" w:cstheme="minorHAnsi"/>
                <w:i/>
                <w:sz w:val="24"/>
                <w:szCs w:val="24"/>
              </w:rPr>
              <w:t>®</w:t>
            </w:r>
            <w:r w:rsidRPr="009354BC">
              <w:rPr>
                <w:rFonts w:ascii="Lato" w:hAnsi="Lato"/>
                <w:i/>
                <w:sz w:val="24"/>
                <w:szCs w:val="24"/>
              </w:rPr>
              <w:t xml:space="preserve"> for small area or oral flucloxacillin.</w:t>
            </w:r>
          </w:p>
        </w:tc>
      </w:tr>
      <w:tr w:rsidR="00F342F5" w:rsidRPr="009354BC" w:rsidTr="00FF6D16">
        <w:trPr>
          <w:trHeight w:val="720"/>
        </w:trPr>
        <w:tc>
          <w:tcPr>
            <w:tcW w:w="0" w:type="auto"/>
          </w:tcPr>
          <w:p w:rsidR="00F342F5" w:rsidRPr="009354BC" w:rsidRDefault="00F342F5" w:rsidP="00FF6D16">
            <w:pPr>
              <w:rPr>
                <w:rFonts w:ascii="Lato" w:hAnsi="Lato" w:cs="Calibri"/>
                <w:color w:val="000000"/>
                <w:sz w:val="24"/>
                <w:szCs w:val="24"/>
              </w:rPr>
            </w:pPr>
            <w:r w:rsidRPr="009354BC">
              <w:rPr>
                <w:rFonts w:ascii="Lato" w:hAnsi="Lato" w:cs="Calibri"/>
                <w:color w:val="000000"/>
                <w:sz w:val="24"/>
                <w:szCs w:val="24"/>
              </w:rPr>
              <w:t>Prescribing a medication that interacts with a currently prescribed medication and prescribing could and should be avoided and there is no clear and defensible justification.</w:t>
            </w:r>
          </w:p>
        </w:tc>
        <w:tc>
          <w:tcPr>
            <w:tcW w:w="0" w:type="auto"/>
          </w:tcPr>
          <w:p w:rsidR="00F342F5" w:rsidRPr="009354BC" w:rsidRDefault="00F342F5" w:rsidP="00FF6D16">
            <w:pPr>
              <w:rPr>
                <w:rFonts w:ascii="Lato" w:hAnsi="Lato"/>
                <w:sz w:val="24"/>
                <w:szCs w:val="24"/>
              </w:rPr>
            </w:pPr>
            <w:r w:rsidRPr="009354BC">
              <w:rPr>
                <w:rFonts w:ascii="Lato" w:hAnsi="Lato" w:cs="Calibri"/>
                <w:color w:val="000000"/>
                <w:sz w:val="24"/>
                <w:szCs w:val="18"/>
              </w:rPr>
              <w:t xml:space="preserve">Failure to prescribe the formulation of a medication recommended by secondary care/specialist although the likelihood of harm or a deleterious effect on the patient is low </w:t>
            </w:r>
            <w:r w:rsidRPr="009354BC">
              <w:rPr>
                <w:rFonts w:ascii="Lato" w:hAnsi="Lato" w:cs="Calibri"/>
                <w:i/>
                <w:color w:val="000000"/>
                <w:sz w:val="24"/>
                <w:szCs w:val="18"/>
              </w:rPr>
              <w:t>Example: Topiramate sprinkles recommended in a neurology letter for migraine as the patient had stopped taking the tablets as they had not suited them.  Tablets were prescribed again in consultation with no explanation in the clinical record to explain why the neurology advice had not been followed</w:t>
            </w:r>
            <w:r w:rsidRPr="009354BC">
              <w:rPr>
                <w:rFonts w:ascii="Lato" w:hAnsi="Lato" w:cs="Calibri"/>
                <w:color w:val="000000"/>
                <w:sz w:val="24"/>
                <w:szCs w:val="18"/>
              </w:rPr>
              <w:t>.</w:t>
            </w:r>
          </w:p>
        </w:tc>
      </w:tr>
      <w:tr w:rsidR="00F342F5" w:rsidRPr="009354BC" w:rsidTr="00FF6D16">
        <w:trPr>
          <w:trHeight w:val="720"/>
        </w:trPr>
        <w:tc>
          <w:tcPr>
            <w:tcW w:w="0" w:type="auto"/>
          </w:tcPr>
          <w:p w:rsidR="00F342F5" w:rsidRPr="009354BC" w:rsidRDefault="00F342F5" w:rsidP="00FF6D16">
            <w:pPr>
              <w:rPr>
                <w:rFonts w:ascii="Lato" w:hAnsi="Lato" w:cs="Calibri"/>
                <w:color w:val="000000"/>
                <w:sz w:val="24"/>
                <w:szCs w:val="24"/>
              </w:rPr>
            </w:pPr>
            <w:r w:rsidRPr="009354BC">
              <w:rPr>
                <w:rFonts w:ascii="Lato" w:hAnsi="Lato" w:cs="Calibri"/>
                <w:color w:val="000000"/>
                <w:sz w:val="24"/>
                <w:szCs w:val="24"/>
              </w:rPr>
              <w:t xml:space="preserve">Failure to add a concomitant therapy to that would reduce the risk of harm from the item prescribed </w:t>
            </w:r>
            <w:r w:rsidRPr="009354BC">
              <w:rPr>
                <w:rFonts w:ascii="Lato" w:hAnsi="Lato" w:cs="Calibri"/>
                <w:i/>
                <w:color w:val="000000"/>
                <w:sz w:val="24"/>
                <w:szCs w:val="24"/>
              </w:rPr>
              <w:t>Example: failure to prescribe gastroprotection when prescribing an NSAID to a patient at high risk of GI bleed.</w:t>
            </w:r>
          </w:p>
        </w:tc>
        <w:tc>
          <w:tcPr>
            <w:tcW w:w="0" w:type="auto"/>
          </w:tcPr>
          <w:p w:rsidR="00F342F5" w:rsidRPr="009354BC" w:rsidRDefault="00F342F5" w:rsidP="00FF6D16">
            <w:pPr>
              <w:rPr>
                <w:rFonts w:ascii="Lato" w:hAnsi="Lato"/>
                <w:sz w:val="24"/>
                <w:szCs w:val="24"/>
              </w:rPr>
            </w:pPr>
          </w:p>
        </w:tc>
      </w:tr>
    </w:tbl>
    <w:p w:rsidR="008519AA" w:rsidRPr="009354BC" w:rsidRDefault="008519AA" w:rsidP="008519AA">
      <w:pPr>
        <w:rPr>
          <w:rFonts w:ascii="Lato" w:hAnsi="Lato"/>
        </w:rPr>
      </w:pPr>
    </w:p>
    <w:p w:rsidR="008519AA" w:rsidRPr="009354BC" w:rsidRDefault="008519AA" w:rsidP="008519AA">
      <w:pPr>
        <w:rPr>
          <w:rFonts w:ascii="Lato" w:hAnsi="Lato"/>
          <w:b/>
          <w:sz w:val="28"/>
        </w:rPr>
      </w:pPr>
      <w:r w:rsidRPr="009354BC">
        <w:rPr>
          <w:rFonts w:ascii="Lato" w:hAnsi="Lato"/>
          <w:b/>
          <w:sz w:val="28"/>
        </w:rPr>
        <w:br w:type="page"/>
      </w:r>
    </w:p>
    <w:p w:rsidR="008519AA" w:rsidRPr="009354BC" w:rsidRDefault="008519AA" w:rsidP="008519AA">
      <w:pPr>
        <w:rPr>
          <w:rFonts w:ascii="Lato" w:hAnsi="Lato"/>
          <w:b/>
          <w:sz w:val="28"/>
          <w:u w:val="double"/>
        </w:rPr>
      </w:pPr>
      <w:r w:rsidRPr="009354BC">
        <w:rPr>
          <w:rFonts w:ascii="Lato" w:hAnsi="Lato"/>
          <w:b/>
          <w:sz w:val="28"/>
        </w:rPr>
        <w:lastRenderedPageBreak/>
        <w:t xml:space="preserve">Right Dose </w:t>
      </w:r>
    </w:p>
    <w:tbl>
      <w:tblPr>
        <w:tblStyle w:val="TableGrid"/>
        <w:tblW w:w="14850" w:type="dxa"/>
        <w:tblLook w:val="04A0" w:firstRow="1" w:lastRow="0" w:firstColumn="1" w:lastColumn="0" w:noHBand="0" w:noVBand="1"/>
      </w:tblPr>
      <w:tblGrid>
        <w:gridCol w:w="7479"/>
        <w:gridCol w:w="7371"/>
      </w:tblGrid>
      <w:tr w:rsidR="008519AA" w:rsidRPr="009354BC" w:rsidTr="00FF6D16">
        <w:trPr>
          <w:trHeight w:val="476"/>
        </w:trPr>
        <w:tc>
          <w:tcPr>
            <w:tcW w:w="7479" w:type="dxa"/>
          </w:tcPr>
          <w:p w:rsidR="008519AA" w:rsidRPr="009354BC" w:rsidRDefault="008519AA" w:rsidP="00FF6D16">
            <w:pPr>
              <w:jc w:val="center"/>
              <w:rPr>
                <w:rFonts w:ascii="Lato" w:hAnsi="Lato" w:cs="Calibri"/>
                <w:b/>
                <w:color w:val="000000"/>
                <w:sz w:val="28"/>
                <w:szCs w:val="24"/>
              </w:rPr>
            </w:pPr>
            <w:r w:rsidRPr="009354BC">
              <w:rPr>
                <w:rFonts w:ascii="Lato" w:hAnsi="Lato" w:cs="Calibri"/>
                <w:b/>
                <w:color w:val="000000"/>
                <w:sz w:val="28"/>
                <w:szCs w:val="24"/>
              </w:rPr>
              <w:t>Prescribing Error</w:t>
            </w:r>
          </w:p>
        </w:tc>
        <w:tc>
          <w:tcPr>
            <w:tcW w:w="7371" w:type="dxa"/>
          </w:tcPr>
          <w:p w:rsidR="008519AA" w:rsidRPr="009354BC" w:rsidRDefault="008519AA" w:rsidP="00FF6D16">
            <w:pPr>
              <w:jc w:val="center"/>
              <w:rPr>
                <w:rFonts w:ascii="Lato" w:hAnsi="Lato" w:cs="Calibri"/>
                <w:b/>
                <w:color w:val="000000"/>
                <w:sz w:val="28"/>
                <w:szCs w:val="18"/>
              </w:rPr>
            </w:pPr>
            <w:r w:rsidRPr="009354BC">
              <w:rPr>
                <w:rFonts w:ascii="Lato" w:hAnsi="Lato" w:cs="Calibri"/>
                <w:b/>
                <w:color w:val="000000"/>
                <w:sz w:val="28"/>
                <w:szCs w:val="18"/>
              </w:rPr>
              <w:t>Sub-optimal prescribing event</w:t>
            </w:r>
          </w:p>
        </w:tc>
      </w:tr>
      <w:tr w:rsidR="008519AA" w:rsidRPr="009354BC" w:rsidTr="00FF6D16">
        <w:trPr>
          <w:trHeight w:val="960"/>
        </w:trPr>
        <w:tc>
          <w:tcPr>
            <w:tcW w:w="7479" w:type="dxa"/>
          </w:tcPr>
          <w:p w:rsidR="008519AA" w:rsidRPr="009354BC" w:rsidRDefault="008519AA" w:rsidP="00FF6D16">
            <w:pPr>
              <w:rPr>
                <w:rFonts w:ascii="Lato" w:hAnsi="Lato"/>
                <w:sz w:val="24"/>
                <w:szCs w:val="24"/>
              </w:rPr>
            </w:pPr>
            <w:r w:rsidRPr="009354BC">
              <w:rPr>
                <w:rFonts w:ascii="Lato" w:hAnsi="Lato" w:cs="Calibri"/>
                <w:color w:val="000000"/>
                <w:sz w:val="24"/>
                <w:szCs w:val="24"/>
              </w:rPr>
              <w:t xml:space="preserve">Failure to act on a suggested dose change or recommendation from secondary care/specialist correspondence, where that dose change was aimed at either increasing therapeutic benefits or reducing risk of harm. </w:t>
            </w:r>
          </w:p>
        </w:tc>
        <w:tc>
          <w:tcPr>
            <w:tcW w:w="7371" w:type="dxa"/>
          </w:tcPr>
          <w:p w:rsidR="008519AA" w:rsidRPr="009354BC" w:rsidRDefault="008519AA" w:rsidP="00FF6D16">
            <w:pPr>
              <w:rPr>
                <w:rFonts w:ascii="Lato" w:hAnsi="Lato" w:cs="Calibri"/>
                <w:color w:val="000000"/>
                <w:sz w:val="24"/>
                <w:szCs w:val="18"/>
              </w:rPr>
            </w:pPr>
            <w:r w:rsidRPr="009354BC">
              <w:rPr>
                <w:rFonts w:ascii="Lato" w:hAnsi="Lato" w:cs="Calibri"/>
                <w:color w:val="000000"/>
                <w:sz w:val="24"/>
                <w:szCs w:val="18"/>
              </w:rPr>
              <w:t xml:space="preserve">Prescribing of a medication above the standard recommended dose but at a dosage that is unlikely to cause harm </w:t>
            </w:r>
          </w:p>
          <w:p w:rsidR="008519AA" w:rsidRPr="009354BC" w:rsidRDefault="008519AA" w:rsidP="00FF6D16">
            <w:pPr>
              <w:rPr>
                <w:rFonts w:ascii="Lato" w:hAnsi="Lato"/>
                <w:i/>
                <w:sz w:val="24"/>
                <w:szCs w:val="24"/>
              </w:rPr>
            </w:pPr>
            <w:r w:rsidRPr="009354BC">
              <w:rPr>
                <w:rFonts w:ascii="Lato" w:hAnsi="Lato" w:cs="Calibri"/>
                <w:i/>
                <w:color w:val="000000"/>
                <w:sz w:val="24"/>
                <w:szCs w:val="18"/>
              </w:rPr>
              <w:t>Example: Lansoprazole 30mg prescribed for gastro-protection from NSAID.  Licensed dose is 15mg and the patient had no other risk factors for gastro-intestinal bleed.</w:t>
            </w:r>
          </w:p>
        </w:tc>
      </w:tr>
      <w:tr w:rsidR="008519AA" w:rsidRPr="009354BC" w:rsidTr="00FF6D16">
        <w:trPr>
          <w:trHeight w:val="720"/>
        </w:trPr>
        <w:tc>
          <w:tcPr>
            <w:tcW w:w="7479" w:type="dxa"/>
          </w:tcPr>
          <w:p w:rsidR="008519AA" w:rsidRPr="009354BC" w:rsidRDefault="008519AA" w:rsidP="00FF6D16">
            <w:pPr>
              <w:rPr>
                <w:rFonts w:ascii="Lato" w:hAnsi="Lato"/>
                <w:sz w:val="24"/>
                <w:szCs w:val="24"/>
              </w:rPr>
            </w:pPr>
            <w:r w:rsidRPr="009354BC">
              <w:rPr>
                <w:rFonts w:ascii="Lato" w:hAnsi="Lato" w:cs="Calibri"/>
                <w:color w:val="000000"/>
                <w:sz w:val="24"/>
                <w:szCs w:val="24"/>
              </w:rPr>
              <w:t>Overdose of an oral medication in a child, e.g. clearly above that recommended by BNF for height/age, unless the medication has extremely low risk of harm.</w:t>
            </w:r>
          </w:p>
        </w:tc>
        <w:tc>
          <w:tcPr>
            <w:tcW w:w="7371" w:type="dxa"/>
          </w:tcPr>
          <w:p w:rsidR="008519AA" w:rsidRPr="009354BC" w:rsidRDefault="008519AA" w:rsidP="00FF6D16">
            <w:pPr>
              <w:rPr>
                <w:rFonts w:ascii="Lato" w:hAnsi="Lato" w:cs="Calibri"/>
                <w:color w:val="000000"/>
                <w:sz w:val="24"/>
                <w:szCs w:val="18"/>
              </w:rPr>
            </w:pPr>
            <w:r w:rsidRPr="009354BC">
              <w:rPr>
                <w:rFonts w:ascii="Lato" w:hAnsi="Lato" w:cs="Calibri"/>
                <w:color w:val="000000"/>
                <w:sz w:val="24"/>
                <w:szCs w:val="18"/>
              </w:rPr>
              <w:t xml:space="preserve">Prescribing of a medication below the standard recommended dose but at a dosage where risk of harm is low, the risk of treatment failure is low, or the dose is unlikely to cause a deleterious effect on the patient in terms of lack of control of symptoms. </w:t>
            </w:r>
          </w:p>
          <w:p w:rsidR="008519AA" w:rsidRPr="009354BC" w:rsidRDefault="008519AA" w:rsidP="00FF6D16">
            <w:pPr>
              <w:rPr>
                <w:rFonts w:ascii="Lato" w:hAnsi="Lato"/>
                <w:sz w:val="24"/>
                <w:szCs w:val="24"/>
              </w:rPr>
            </w:pPr>
            <w:r w:rsidRPr="009354BC">
              <w:rPr>
                <w:rFonts w:ascii="Lato" w:hAnsi="Lato" w:cs="Calibri"/>
                <w:i/>
                <w:color w:val="000000"/>
                <w:sz w:val="24"/>
                <w:szCs w:val="18"/>
              </w:rPr>
              <w:t>Example:  Calcium tablets prescribed at lower than the recommended dose for osteoporosis.</w:t>
            </w:r>
          </w:p>
        </w:tc>
      </w:tr>
      <w:tr w:rsidR="008519AA" w:rsidRPr="009354BC" w:rsidTr="00FF6D16">
        <w:trPr>
          <w:trHeight w:val="720"/>
        </w:trPr>
        <w:tc>
          <w:tcPr>
            <w:tcW w:w="7479" w:type="dxa"/>
          </w:tcPr>
          <w:p w:rsidR="008519AA" w:rsidRPr="009354BC" w:rsidRDefault="008519AA" w:rsidP="00FF6D16">
            <w:pPr>
              <w:rPr>
                <w:rFonts w:ascii="Lato" w:hAnsi="Lato" w:cs="Calibri"/>
                <w:i/>
                <w:color w:val="000000"/>
                <w:sz w:val="24"/>
                <w:szCs w:val="24"/>
              </w:rPr>
            </w:pPr>
            <w:r w:rsidRPr="009354BC">
              <w:rPr>
                <w:rFonts w:ascii="Lato" w:hAnsi="Lato" w:cs="Calibri"/>
                <w:color w:val="000000"/>
                <w:sz w:val="24"/>
                <w:szCs w:val="24"/>
              </w:rPr>
              <w:t>Overdosage of an oral medication in an adult where there is clear increased risk of harm (unless a clear and defensible justification has been given by the prescriber or in correspondence from secondary care</w:t>
            </w:r>
            <w:r w:rsidRPr="009354BC">
              <w:rPr>
                <w:rFonts w:ascii="Lato" w:hAnsi="Lato" w:cs="Calibri"/>
                <w:i/>
                <w:color w:val="000000"/>
                <w:sz w:val="24"/>
                <w:szCs w:val="24"/>
              </w:rPr>
              <w:t xml:space="preserve">). </w:t>
            </w:r>
          </w:p>
          <w:p w:rsidR="008519AA" w:rsidRPr="009354BC" w:rsidRDefault="008519AA" w:rsidP="00FF6D16">
            <w:pPr>
              <w:rPr>
                <w:rFonts w:ascii="Lato" w:hAnsi="Lato" w:cs="Calibri"/>
                <w:color w:val="000000"/>
                <w:sz w:val="24"/>
                <w:szCs w:val="24"/>
              </w:rPr>
            </w:pPr>
            <w:r w:rsidRPr="009354BC">
              <w:rPr>
                <w:rFonts w:ascii="Lato" w:hAnsi="Lato" w:cs="Calibri"/>
                <w:i/>
                <w:color w:val="000000"/>
                <w:sz w:val="24"/>
                <w:szCs w:val="24"/>
              </w:rPr>
              <w:t>Example: Colchicine 1 four times a day for 4-5 days with no maximum dose of 12 tablets per course stated.</w:t>
            </w:r>
          </w:p>
        </w:tc>
        <w:tc>
          <w:tcPr>
            <w:tcW w:w="7371" w:type="dxa"/>
          </w:tcPr>
          <w:p w:rsidR="008519AA" w:rsidRPr="009354BC" w:rsidRDefault="008519AA" w:rsidP="00FF6D16">
            <w:pPr>
              <w:rPr>
                <w:rFonts w:ascii="Lato" w:hAnsi="Lato"/>
                <w:sz w:val="24"/>
                <w:szCs w:val="24"/>
              </w:rPr>
            </w:pPr>
            <w:r w:rsidRPr="009354BC">
              <w:rPr>
                <w:rFonts w:ascii="Lato" w:hAnsi="Lato" w:cs="Calibri"/>
                <w:color w:val="000000"/>
                <w:sz w:val="24"/>
                <w:szCs w:val="18"/>
              </w:rPr>
              <w:t xml:space="preserve">Prescription of a medication at a dosage for a different indication that is unlikely to have a deleterious effect on the patient in terms of effectiveness in treatment. </w:t>
            </w:r>
            <w:r w:rsidRPr="009354BC">
              <w:rPr>
                <w:rFonts w:ascii="Lato" w:hAnsi="Lato" w:cs="Calibri"/>
                <w:i/>
                <w:color w:val="000000"/>
                <w:sz w:val="24"/>
                <w:szCs w:val="18"/>
              </w:rPr>
              <w:t>Example: Prednisolone dose prescribed for exacerbation of COPD at the asthma dosage or vice versa.</w:t>
            </w:r>
          </w:p>
        </w:tc>
      </w:tr>
      <w:tr w:rsidR="008519AA" w:rsidRPr="009354BC" w:rsidTr="00FF6D16">
        <w:trPr>
          <w:trHeight w:val="720"/>
        </w:trPr>
        <w:tc>
          <w:tcPr>
            <w:tcW w:w="7479" w:type="dxa"/>
          </w:tcPr>
          <w:p w:rsidR="008519AA" w:rsidRPr="009354BC" w:rsidRDefault="008519AA" w:rsidP="00FF6D16">
            <w:pPr>
              <w:rPr>
                <w:rFonts w:ascii="Lato" w:hAnsi="Lato" w:cs="Calibri"/>
                <w:color w:val="000000"/>
                <w:sz w:val="24"/>
                <w:szCs w:val="24"/>
              </w:rPr>
            </w:pPr>
            <w:r w:rsidRPr="009354BC">
              <w:rPr>
                <w:rFonts w:ascii="Lato" w:hAnsi="Lato" w:cs="Calibri"/>
                <w:color w:val="000000"/>
                <w:sz w:val="24"/>
                <w:szCs w:val="24"/>
              </w:rPr>
              <w:lastRenderedPageBreak/>
              <w:t>Underdosing of oral antimicrobial agents.</w:t>
            </w:r>
          </w:p>
        </w:tc>
        <w:tc>
          <w:tcPr>
            <w:tcW w:w="7371" w:type="dxa"/>
          </w:tcPr>
          <w:p w:rsidR="008519AA" w:rsidRPr="009354BC" w:rsidRDefault="008519AA" w:rsidP="00FF6D16">
            <w:pPr>
              <w:rPr>
                <w:rFonts w:ascii="Lato" w:hAnsi="Lato" w:cs="Calibri"/>
                <w:color w:val="000000"/>
                <w:sz w:val="24"/>
                <w:szCs w:val="18"/>
              </w:rPr>
            </w:pPr>
            <w:r w:rsidRPr="009354BC">
              <w:rPr>
                <w:rFonts w:ascii="Lato" w:hAnsi="Lato" w:cs="Calibri"/>
                <w:color w:val="000000"/>
                <w:sz w:val="24"/>
                <w:szCs w:val="18"/>
              </w:rPr>
              <w:t xml:space="preserve">Prescribing a dose of antimicrobial agent that is lower than the local guidance but is still within the dose range within the BNF (if the dosage is below that recommended in the BNF then </w:t>
            </w:r>
            <w:proofErr w:type="gramStart"/>
            <w:r w:rsidRPr="009354BC">
              <w:rPr>
                <w:rFonts w:ascii="Lato" w:hAnsi="Lato" w:cs="Calibri"/>
                <w:color w:val="000000"/>
                <w:sz w:val="24"/>
                <w:szCs w:val="18"/>
              </w:rPr>
              <w:t>is  an</w:t>
            </w:r>
            <w:proofErr w:type="gramEnd"/>
            <w:r w:rsidRPr="009354BC">
              <w:rPr>
                <w:rFonts w:ascii="Lato" w:hAnsi="Lato" w:cs="Calibri"/>
                <w:color w:val="000000"/>
                <w:sz w:val="24"/>
                <w:szCs w:val="18"/>
              </w:rPr>
              <w:t xml:space="preserve"> error)</w:t>
            </w:r>
          </w:p>
          <w:p w:rsidR="008519AA" w:rsidRPr="009354BC" w:rsidRDefault="008519AA" w:rsidP="00FF6D16">
            <w:pPr>
              <w:rPr>
                <w:rFonts w:ascii="Lato" w:hAnsi="Lato"/>
                <w:i/>
                <w:sz w:val="24"/>
                <w:szCs w:val="24"/>
              </w:rPr>
            </w:pPr>
            <w:r w:rsidRPr="009354BC">
              <w:rPr>
                <w:rFonts w:ascii="Lato" w:hAnsi="Lato" w:cs="Calibri"/>
                <w:i/>
                <w:color w:val="000000"/>
                <w:sz w:val="24"/>
                <w:szCs w:val="18"/>
              </w:rPr>
              <w:t>Example: Erythromycin 250mg four times a day in an adult.</w:t>
            </w:r>
          </w:p>
        </w:tc>
      </w:tr>
      <w:tr w:rsidR="008519AA" w:rsidRPr="009354BC" w:rsidTr="00FF6D16">
        <w:trPr>
          <w:trHeight w:val="720"/>
        </w:trPr>
        <w:tc>
          <w:tcPr>
            <w:tcW w:w="7479" w:type="dxa"/>
          </w:tcPr>
          <w:p w:rsidR="008519AA" w:rsidRPr="009354BC" w:rsidRDefault="008519AA" w:rsidP="00FF6D16">
            <w:pPr>
              <w:rPr>
                <w:rFonts w:ascii="Lato" w:hAnsi="Lato" w:cs="Calibri"/>
                <w:color w:val="000000"/>
                <w:sz w:val="24"/>
                <w:szCs w:val="24"/>
              </w:rPr>
            </w:pPr>
            <w:r w:rsidRPr="009354BC">
              <w:rPr>
                <w:rFonts w:ascii="Lato" w:hAnsi="Lato" w:cs="Calibri"/>
                <w:color w:val="000000"/>
                <w:sz w:val="24"/>
                <w:szCs w:val="24"/>
              </w:rPr>
              <w:t xml:space="preserve">Failure to match the dose intended in the consultation notes to the dose prescribed. </w:t>
            </w:r>
            <w:r w:rsidRPr="009354BC">
              <w:rPr>
                <w:rFonts w:ascii="Lato" w:hAnsi="Lato" w:cs="Calibri"/>
                <w:i/>
                <w:color w:val="000000"/>
                <w:sz w:val="24"/>
                <w:szCs w:val="24"/>
              </w:rPr>
              <w:t>Example: Consultation notes state increase dose omeprazole to 40mg.  Prescription issued only states omeprazole 20mg once daily.</w:t>
            </w:r>
          </w:p>
        </w:tc>
        <w:tc>
          <w:tcPr>
            <w:tcW w:w="7371" w:type="dxa"/>
          </w:tcPr>
          <w:p w:rsidR="008519AA" w:rsidRPr="009354BC" w:rsidRDefault="008519AA" w:rsidP="00FF6D16">
            <w:pPr>
              <w:rPr>
                <w:rFonts w:ascii="Lato" w:hAnsi="Lato" w:cs="Calibri"/>
                <w:color w:val="000000"/>
                <w:sz w:val="24"/>
                <w:szCs w:val="18"/>
              </w:rPr>
            </w:pPr>
            <w:r w:rsidRPr="009354BC">
              <w:rPr>
                <w:rFonts w:ascii="Lato" w:hAnsi="Lato" w:cs="Calibri"/>
                <w:color w:val="000000"/>
                <w:sz w:val="24"/>
                <w:szCs w:val="18"/>
              </w:rPr>
              <w:t xml:space="preserve">Prescribing a strength of medication where more than one dosage unit is needed to supply the required dosage when a higher strength exists. (unless there is an obvious cost-saving motive or clinical reason) </w:t>
            </w:r>
          </w:p>
          <w:p w:rsidR="008519AA" w:rsidRPr="009354BC" w:rsidRDefault="008519AA" w:rsidP="00FF6D16">
            <w:pPr>
              <w:rPr>
                <w:rFonts w:ascii="Lato" w:hAnsi="Lato"/>
                <w:sz w:val="24"/>
                <w:szCs w:val="24"/>
              </w:rPr>
            </w:pPr>
            <w:r w:rsidRPr="009354BC">
              <w:rPr>
                <w:rFonts w:ascii="Lato" w:hAnsi="Lato" w:cs="Calibri"/>
                <w:i/>
                <w:color w:val="000000"/>
                <w:sz w:val="24"/>
                <w:szCs w:val="18"/>
              </w:rPr>
              <w:t xml:space="preserve">Example: </w:t>
            </w:r>
            <w:proofErr w:type="spellStart"/>
            <w:r w:rsidRPr="009354BC">
              <w:rPr>
                <w:rFonts w:ascii="Lato" w:hAnsi="Lato" w:cs="Calibri"/>
                <w:i/>
                <w:color w:val="000000"/>
                <w:sz w:val="24"/>
                <w:szCs w:val="18"/>
              </w:rPr>
              <w:t>Estradot</w:t>
            </w:r>
            <w:proofErr w:type="spellEnd"/>
            <w:r w:rsidRPr="009354BC">
              <w:rPr>
                <w:rFonts w:ascii="Lato" w:hAnsi="Lato" w:cs="Calibri"/>
                <w:i/>
                <w:color w:val="000000"/>
                <w:sz w:val="24"/>
                <w:szCs w:val="18"/>
              </w:rPr>
              <w:t>® patches 2x25mcg when a 50mcg strength is available.</w:t>
            </w:r>
          </w:p>
        </w:tc>
      </w:tr>
      <w:tr w:rsidR="008519AA" w:rsidRPr="009354BC" w:rsidTr="00FF6D16">
        <w:trPr>
          <w:trHeight w:val="720"/>
        </w:trPr>
        <w:tc>
          <w:tcPr>
            <w:tcW w:w="7479" w:type="dxa"/>
          </w:tcPr>
          <w:p w:rsidR="008519AA" w:rsidRPr="009354BC" w:rsidRDefault="008519AA" w:rsidP="00FF6D16">
            <w:pPr>
              <w:rPr>
                <w:rFonts w:ascii="Lato" w:hAnsi="Lato" w:cs="Calibri"/>
                <w:color w:val="000000"/>
                <w:sz w:val="24"/>
                <w:szCs w:val="24"/>
              </w:rPr>
            </w:pPr>
            <w:r w:rsidRPr="009354BC">
              <w:rPr>
                <w:rFonts w:ascii="Lato" w:hAnsi="Lato" w:cs="Calibri"/>
                <w:color w:val="000000"/>
                <w:sz w:val="24"/>
                <w:szCs w:val="24"/>
              </w:rPr>
              <w:t xml:space="preserve">Failure to titrate or convert opioid medication appropriately and harm may occur.  </w:t>
            </w:r>
          </w:p>
          <w:p w:rsidR="008519AA" w:rsidRPr="009354BC" w:rsidRDefault="008519AA" w:rsidP="00FF6D16">
            <w:pPr>
              <w:rPr>
                <w:rFonts w:ascii="Lato" w:hAnsi="Lato" w:cs="Calibri"/>
                <w:i/>
                <w:color w:val="000000"/>
                <w:sz w:val="24"/>
                <w:szCs w:val="24"/>
              </w:rPr>
            </w:pPr>
            <w:r w:rsidRPr="009354BC">
              <w:rPr>
                <w:rFonts w:ascii="Lato" w:hAnsi="Lato" w:cs="Calibri"/>
                <w:i/>
                <w:color w:val="000000"/>
                <w:sz w:val="24"/>
                <w:szCs w:val="24"/>
              </w:rPr>
              <w:t>Example: converting form codeine to morphine in pregnancy resulting in an unintended dose increase.</w:t>
            </w:r>
          </w:p>
        </w:tc>
        <w:tc>
          <w:tcPr>
            <w:tcW w:w="7371" w:type="dxa"/>
          </w:tcPr>
          <w:p w:rsidR="008519AA" w:rsidRPr="009354BC" w:rsidRDefault="008519AA" w:rsidP="00FF6D16">
            <w:pPr>
              <w:rPr>
                <w:rFonts w:ascii="Lato" w:hAnsi="Lato" w:cs="Calibri"/>
                <w:color w:val="000000"/>
                <w:sz w:val="24"/>
                <w:szCs w:val="24"/>
              </w:rPr>
            </w:pPr>
            <w:r w:rsidRPr="009354BC">
              <w:rPr>
                <w:rFonts w:ascii="Lato" w:hAnsi="Lato" w:cs="Calibri"/>
                <w:color w:val="000000"/>
                <w:sz w:val="24"/>
                <w:szCs w:val="24"/>
              </w:rPr>
              <w:t>Prescribing medication at a frequency below or higher than that recommended by the BNF/BNFC or SPC so where there is a low potential to cause harm.</w:t>
            </w:r>
          </w:p>
          <w:p w:rsidR="008519AA" w:rsidRPr="009354BC" w:rsidRDefault="008519AA" w:rsidP="00FF6D16">
            <w:pPr>
              <w:rPr>
                <w:rFonts w:ascii="Lato" w:hAnsi="Lato"/>
                <w:i/>
                <w:sz w:val="24"/>
                <w:szCs w:val="24"/>
              </w:rPr>
            </w:pPr>
            <w:r w:rsidRPr="009354BC">
              <w:rPr>
                <w:rFonts w:ascii="Lato" w:hAnsi="Lato" w:cs="Calibri"/>
                <w:i/>
                <w:color w:val="000000"/>
                <w:sz w:val="24"/>
                <w:szCs w:val="24"/>
              </w:rPr>
              <w:t xml:space="preserve">Example: </w:t>
            </w:r>
            <w:r w:rsidRPr="009354BC">
              <w:rPr>
                <w:rFonts w:ascii="Lato" w:hAnsi="Lato"/>
                <w:i/>
                <w:sz w:val="24"/>
                <w:szCs w:val="24"/>
              </w:rPr>
              <w:t>Mild hydrocortisone cream in an adult.</w:t>
            </w:r>
          </w:p>
        </w:tc>
      </w:tr>
      <w:tr w:rsidR="008519AA" w:rsidRPr="009354BC" w:rsidTr="00FF6D16">
        <w:trPr>
          <w:trHeight w:val="720"/>
        </w:trPr>
        <w:tc>
          <w:tcPr>
            <w:tcW w:w="7479" w:type="dxa"/>
          </w:tcPr>
          <w:p w:rsidR="008519AA" w:rsidRPr="009354BC" w:rsidRDefault="008519AA" w:rsidP="00FF6D16">
            <w:pPr>
              <w:rPr>
                <w:rFonts w:ascii="Lato" w:hAnsi="Lato" w:cs="Calibri"/>
                <w:color w:val="000000"/>
                <w:sz w:val="24"/>
                <w:szCs w:val="24"/>
              </w:rPr>
            </w:pPr>
            <w:r w:rsidRPr="009354BC">
              <w:rPr>
                <w:rFonts w:ascii="Lato" w:hAnsi="Lato" w:cs="Calibri"/>
                <w:color w:val="000000"/>
                <w:sz w:val="24"/>
                <w:szCs w:val="24"/>
              </w:rPr>
              <w:t xml:space="preserve">Prescribing the correct medication at the dose for the wrong indication and the dose is likely to cause a deleterious effect on the patient effectiveness of treatment </w:t>
            </w:r>
            <w:r w:rsidRPr="009354BC">
              <w:rPr>
                <w:rFonts w:ascii="Lato" w:hAnsi="Lato" w:cs="Calibri"/>
                <w:i/>
                <w:color w:val="000000"/>
                <w:sz w:val="24"/>
                <w:szCs w:val="24"/>
              </w:rPr>
              <w:t xml:space="preserve">Example: </w:t>
            </w:r>
            <w:proofErr w:type="spellStart"/>
            <w:r w:rsidRPr="009354BC">
              <w:rPr>
                <w:rFonts w:ascii="Lato" w:hAnsi="Lato" w:cs="Calibri"/>
                <w:i/>
                <w:color w:val="000000"/>
                <w:sz w:val="24"/>
                <w:szCs w:val="24"/>
              </w:rPr>
              <w:t>Aciclovir</w:t>
            </w:r>
            <w:proofErr w:type="spellEnd"/>
            <w:r w:rsidRPr="009354BC">
              <w:rPr>
                <w:rFonts w:ascii="Lato" w:hAnsi="Lato" w:cs="Calibri"/>
                <w:i/>
                <w:color w:val="000000"/>
                <w:sz w:val="24"/>
                <w:szCs w:val="24"/>
              </w:rPr>
              <w:t xml:space="preserve"> prescriber at dose for cold sores when treating for shingles.</w:t>
            </w:r>
          </w:p>
        </w:tc>
        <w:tc>
          <w:tcPr>
            <w:tcW w:w="7371" w:type="dxa"/>
          </w:tcPr>
          <w:p w:rsidR="008519AA" w:rsidRPr="009354BC" w:rsidRDefault="008519AA" w:rsidP="00FF6D16">
            <w:pPr>
              <w:rPr>
                <w:rFonts w:ascii="Lato" w:hAnsi="Lato"/>
                <w:sz w:val="24"/>
                <w:szCs w:val="24"/>
              </w:rPr>
            </w:pPr>
            <w:r w:rsidRPr="009354BC">
              <w:rPr>
                <w:rFonts w:ascii="Lato" w:hAnsi="Lato"/>
                <w:sz w:val="24"/>
                <w:szCs w:val="24"/>
              </w:rPr>
              <w:t>Prescription of a very large quantity where there is a low risk of harm and there is a low potential for misuse.</w:t>
            </w:r>
          </w:p>
        </w:tc>
      </w:tr>
      <w:tr w:rsidR="008519AA" w:rsidRPr="009354BC" w:rsidTr="00FF6D16">
        <w:trPr>
          <w:trHeight w:val="720"/>
        </w:trPr>
        <w:tc>
          <w:tcPr>
            <w:tcW w:w="7479" w:type="dxa"/>
          </w:tcPr>
          <w:p w:rsidR="008519AA" w:rsidRPr="009354BC" w:rsidRDefault="008519AA" w:rsidP="00FF6D16">
            <w:pPr>
              <w:rPr>
                <w:rFonts w:ascii="Lato" w:hAnsi="Lato" w:cs="Calibri"/>
                <w:color w:val="000000"/>
                <w:sz w:val="24"/>
                <w:szCs w:val="24"/>
              </w:rPr>
            </w:pPr>
            <w:r w:rsidRPr="009354BC">
              <w:rPr>
                <w:rFonts w:ascii="Lato" w:hAnsi="Lato" w:cs="Calibri"/>
                <w:color w:val="000000"/>
                <w:sz w:val="24"/>
                <w:szCs w:val="24"/>
              </w:rPr>
              <w:t xml:space="preserve">Prescribing a drug that interacts with a concomitant drug so that a reduction in dosage should be made but has not been. </w:t>
            </w:r>
          </w:p>
        </w:tc>
        <w:tc>
          <w:tcPr>
            <w:tcW w:w="7371" w:type="dxa"/>
          </w:tcPr>
          <w:p w:rsidR="008519AA" w:rsidRPr="009354BC" w:rsidRDefault="008519AA" w:rsidP="00FF6D16">
            <w:pPr>
              <w:rPr>
                <w:rFonts w:ascii="Lato" w:hAnsi="Lato"/>
                <w:sz w:val="24"/>
                <w:szCs w:val="24"/>
              </w:rPr>
            </w:pPr>
            <w:r w:rsidRPr="009354BC">
              <w:rPr>
                <w:rFonts w:ascii="Lato" w:hAnsi="Lato"/>
                <w:sz w:val="24"/>
                <w:szCs w:val="24"/>
              </w:rPr>
              <w:t>Prescribing of antibiotics for a slightly longer duration than the local antimicrobial guidelines.</w:t>
            </w:r>
          </w:p>
        </w:tc>
      </w:tr>
      <w:tr w:rsidR="008519AA" w:rsidRPr="009354BC" w:rsidTr="00FF6D16">
        <w:trPr>
          <w:trHeight w:val="720"/>
        </w:trPr>
        <w:tc>
          <w:tcPr>
            <w:tcW w:w="7479" w:type="dxa"/>
          </w:tcPr>
          <w:p w:rsidR="008519AA" w:rsidRPr="009354BC" w:rsidRDefault="008519AA" w:rsidP="00FF6D16">
            <w:pPr>
              <w:rPr>
                <w:rFonts w:ascii="Lato" w:hAnsi="Lato" w:cs="Calibri"/>
                <w:color w:val="000000"/>
                <w:sz w:val="24"/>
                <w:szCs w:val="24"/>
              </w:rPr>
            </w:pPr>
            <w:r w:rsidRPr="009354BC">
              <w:rPr>
                <w:rFonts w:ascii="Lato" w:hAnsi="Lato" w:cs="Calibri"/>
                <w:color w:val="000000"/>
                <w:sz w:val="24"/>
                <w:szCs w:val="24"/>
              </w:rPr>
              <w:lastRenderedPageBreak/>
              <w:t>Prescribing medication at a frequency below or higher than that recommended by the BNF/BNFC or SPC so that there is potential to cause harm e.g. steroid cream in a child.</w:t>
            </w:r>
          </w:p>
        </w:tc>
        <w:tc>
          <w:tcPr>
            <w:tcW w:w="7371" w:type="dxa"/>
          </w:tcPr>
          <w:p w:rsidR="008519AA" w:rsidRPr="009354BC" w:rsidRDefault="008519AA" w:rsidP="00FF6D16">
            <w:pPr>
              <w:rPr>
                <w:rFonts w:ascii="Lato" w:hAnsi="Lato"/>
                <w:sz w:val="24"/>
                <w:szCs w:val="24"/>
              </w:rPr>
            </w:pPr>
          </w:p>
        </w:tc>
      </w:tr>
    </w:tbl>
    <w:p w:rsidR="008519AA" w:rsidRPr="009354BC" w:rsidRDefault="008519AA" w:rsidP="008519AA">
      <w:pPr>
        <w:rPr>
          <w:rFonts w:ascii="Lato" w:hAnsi="Lato"/>
          <w:b/>
          <w:sz w:val="28"/>
        </w:rPr>
      </w:pPr>
    </w:p>
    <w:p w:rsidR="008519AA" w:rsidRPr="009354BC" w:rsidRDefault="008519AA" w:rsidP="008519AA">
      <w:pPr>
        <w:rPr>
          <w:rFonts w:ascii="Lato" w:hAnsi="Lato"/>
          <w:b/>
          <w:sz w:val="28"/>
        </w:rPr>
      </w:pPr>
      <w:r w:rsidRPr="009354BC">
        <w:rPr>
          <w:rFonts w:ascii="Lato" w:hAnsi="Lato"/>
          <w:b/>
          <w:sz w:val="28"/>
        </w:rPr>
        <w:br w:type="page"/>
      </w:r>
    </w:p>
    <w:p w:rsidR="008519AA" w:rsidRPr="009354BC" w:rsidRDefault="008519AA" w:rsidP="008519AA">
      <w:pPr>
        <w:rPr>
          <w:rFonts w:ascii="Lato" w:hAnsi="Lato"/>
          <w:b/>
          <w:sz w:val="28"/>
        </w:rPr>
      </w:pPr>
      <w:r w:rsidRPr="009354BC">
        <w:rPr>
          <w:rFonts w:ascii="Lato" w:hAnsi="Lato"/>
          <w:b/>
          <w:sz w:val="28"/>
        </w:rPr>
        <w:lastRenderedPageBreak/>
        <w:t>Right Dose Instructions</w:t>
      </w:r>
    </w:p>
    <w:tbl>
      <w:tblPr>
        <w:tblStyle w:val="TableGrid"/>
        <w:tblW w:w="14425" w:type="dxa"/>
        <w:tblLook w:val="04A0" w:firstRow="1" w:lastRow="0" w:firstColumn="1" w:lastColumn="0" w:noHBand="0" w:noVBand="1"/>
      </w:tblPr>
      <w:tblGrid>
        <w:gridCol w:w="7250"/>
        <w:gridCol w:w="7175"/>
      </w:tblGrid>
      <w:tr w:rsidR="008519AA" w:rsidRPr="009354BC" w:rsidTr="00FF6D16">
        <w:trPr>
          <w:trHeight w:val="512"/>
        </w:trPr>
        <w:tc>
          <w:tcPr>
            <w:tcW w:w="0" w:type="auto"/>
          </w:tcPr>
          <w:p w:rsidR="008519AA" w:rsidRPr="009354BC" w:rsidRDefault="008519AA" w:rsidP="00FF6D16">
            <w:pPr>
              <w:jc w:val="center"/>
              <w:rPr>
                <w:rFonts w:ascii="Lato" w:hAnsi="Lato"/>
                <w:b/>
                <w:sz w:val="28"/>
                <w:szCs w:val="24"/>
              </w:rPr>
            </w:pPr>
            <w:r w:rsidRPr="009354BC">
              <w:rPr>
                <w:rFonts w:ascii="Lato" w:hAnsi="Lato"/>
                <w:b/>
                <w:sz w:val="28"/>
                <w:szCs w:val="24"/>
              </w:rPr>
              <w:t>Prescribing error</w:t>
            </w:r>
          </w:p>
        </w:tc>
        <w:tc>
          <w:tcPr>
            <w:tcW w:w="7175" w:type="dxa"/>
          </w:tcPr>
          <w:p w:rsidR="008519AA" w:rsidRPr="009354BC" w:rsidRDefault="008519AA" w:rsidP="00FF6D16">
            <w:pPr>
              <w:jc w:val="center"/>
              <w:rPr>
                <w:rFonts w:ascii="Lato" w:hAnsi="Lato"/>
                <w:b/>
                <w:sz w:val="28"/>
                <w:szCs w:val="24"/>
              </w:rPr>
            </w:pPr>
            <w:r w:rsidRPr="009354BC">
              <w:rPr>
                <w:rFonts w:ascii="Lato" w:hAnsi="Lato"/>
                <w:b/>
                <w:sz w:val="28"/>
                <w:szCs w:val="24"/>
              </w:rPr>
              <w:t>Sub-optimal prescribing event</w:t>
            </w:r>
          </w:p>
        </w:tc>
      </w:tr>
      <w:tr w:rsidR="008519AA" w:rsidRPr="009354BC" w:rsidTr="00FF6D16">
        <w:trPr>
          <w:trHeight w:val="1440"/>
        </w:trPr>
        <w:tc>
          <w:tcPr>
            <w:tcW w:w="0" w:type="auto"/>
          </w:tcPr>
          <w:p w:rsidR="008519AA" w:rsidRPr="009354BC" w:rsidRDefault="008519AA" w:rsidP="00FF6D16">
            <w:pPr>
              <w:rPr>
                <w:rFonts w:ascii="Lato" w:hAnsi="Lato"/>
                <w:sz w:val="24"/>
                <w:szCs w:val="24"/>
              </w:rPr>
            </w:pPr>
            <w:r w:rsidRPr="009354BC">
              <w:rPr>
                <w:rFonts w:ascii="Lato" w:eastAsia="Times New Roman" w:hAnsi="Lato" w:cs="Calibri"/>
                <w:color w:val="000000"/>
                <w:sz w:val="24"/>
                <w:szCs w:val="24"/>
                <w:lang w:eastAsia="en-GB"/>
              </w:rPr>
              <w:t>Oral corticosteroids prescribed “as directed” without further instructions.</w:t>
            </w:r>
          </w:p>
        </w:tc>
        <w:tc>
          <w:tcPr>
            <w:tcW w:w="7175" w:type="dxa"/>
          </w:tcPr>
          <w:p w:rsidR="008519AA" w:rsidRPr="009354BC" w:rsidRDefault="008519AA" w:rsidP="00FF6D16">
            <w:pPr>
              <w:rPr>
                <w:rFonts w:ascii="Lato" w:hAnsi="Lato" w:cs="Calibri"/>
                <w:color w:val="000000"/>
                <w:sz w:val="24"/>
                <w:szCs w:val="24"/>
              </w:rPr>
            </w:pPr>
            <w:r w:rsidRPr="009354BC">
              <w:rPr>
                <w:rFonts w:ascii="Lato" w:hAnsi="Lato" w:cs="Calibri"/>
                <w:color w:val="000000"/>
                <w:sz w:val="24"/>
                <w:szCs w:val="24"/>
              </w:rPr>
              <w:t xml:space="preserve">Ambiguous or unclear dosing instructions for a medication with a low potential for harm.  </w:t>
            </w:r>
          </w:p>
          <w:p w:rsidR="008519AA" w:rsidRPr="009354BC" w:rsidRDefault="008519AA" w:rsidP="00FF6D16">
            <w:pPr>
              <w:rPr>
                <w:rFonts w:ascii="Lato" w:hAnsi="Lato"/>
                <w:i/>
                <w:sz w:val="24"/>
                <w:szCs w:val="24"/>
              </w:rPr>
            </w:pPr>
            <w:r w:rsidRPr="009354BC">
              <w:rPr>
                <w:rFonts w:ascii="Lato" w:hAnsi="Lato" w:cs="Calibri"/>
                <w:i/>
                <w:color w:val="000000"/>
                <w:sz w:val="24"/>
                <w:szCs w:val="24"/>
              </w:rPr>
              <w:t xml:space="preserve">Example: a) Topical preparation prescribed with dosage instructions implying an oral route for administration, e.g. take one twice daily. b) ketoconazole shampoo with no dosage instructions on it (including a child). c) </w:t>
            </w:r>
            <w:proofErr w:type="spellStart"/>
            <w:r w:rsidRPr="009354BC">
              <w:rPr>
                <w:rFonts w:ascii="Lato" w:hAnsi="Lato" w:cs="Calibri"/>
                <w:i/>
                <w:color w:val="000000"/>
                <w:sz w:val="24"/>
                <w:szCs w:val="24"/>
              </w:rPr>
              <w:t>Difflam</w:t>
            </w:r>
            <w:proofErr w:type="spellEnd"/>
            <w:r w:rsidRPr="009354BC">
              <w:rPr>
                <w:rFonts w:ascii="Lato" w:hAnsi="Lato" w:cs="Calibri"/>
                <w:i/>
                <w:color w:val="000000"/>
                <w:sz w:val="24"/>
                <w:szCs w:val="24"/>
              </w:rPr>
              <w:t xml:space="preserve"> spray prescribed for a child without directions as to the number of sprays to use.  The PIL is not very clear as it states, "spray 1 puff for every 4kg body weight up to a maximum of 4 puffs to the sore area".</w:t>
            </w:r>
          </w:p>
        </w:tc>
      </w:tr>
      <w:tr w:rsidR="008519AA" w:rsidRPr="009354BC" w:rsidTr="00FF6D16">
        <w:trPr>
          <w:trHeight w:val="480"/>
        </w:trPr>
        <w:tc>
          <w:tcPr>
            <w:tcW w:w="0" w:type="auto"/>
            <w:hideMark/>
          </w:tcPr>
          <w:p w:rsidR="008519AA" w:rsidRPr="009354BC" w:rsidRDefault="008519AA" w:rsidP="00FF6D16">
            <w:pPr>
              <w:rPr>
                <w:rFonts w:ascii="Lato" w:eastAsia="Times New Roman" w:hAnsi="Lato" w:cs="Calibri"/>
                <w:color w:val="000000"/>
                <w:sz w:val="24"/>
                <w:szCs w:val="24"/>
                <w:lang w:eastAsia="en-GB"/>
              </w:rPr>
            </w:pPr>
            <w:r w:rsidRPr="009354BC">
              <w:rPr>
                <w:rFonts w:ascii="Lato" w:eastAsia="Times New Roman" w:hAnsi="Lato" w:cs="Calibri"/>
                <w:color w:val="000000"/>
                <w:sz w:val="24"/>
                <w:szCs w:val="24"/>
                <w:lang w:eastAsia="en-GB"/>
              </w:rPr>
              <w:t>Inhaled corticosteroid prescribed without clear dosage instructions, e.g. PRN, BD.</w:t>
            </w:r>
          </w:p>
        </w:tc>
        <w:tc>
          <w:tcPr>
            <w:tcW w:w="7175" w:type="dxa"/>
          </w:tcPr>
          <w:p w:rsidR="008519AA" w:rsidRPr="009354BC" w:rsidRDefault="008519AA" w:rsidP="00FF6D16">
            <w:pPr>
              <w:rPr>
                <w:rFonts w:ascii="Lato" w:hAnsi="Lato" w:cs="Calibri"/>
                <w:color w:val="000000"/>
                <w:sz w:val="24"/>
                <w:szCs w:val="24"/>
              </w:rPr>
            </w:pPr>
            <w:r w:rsidRPr="009354BC">
              <w:rPr>
                <w:rFonts w:ascii="Lato" w:hAnsi="Lato" w:cs="Calibri"/>
                <w:color w:val="000000"/>
                <w:sz w:val="24"/>
                <w:szCs w:val="24"/>
              </w:rPr>
              <w:t xml:space="preserve"> Prescription of a preparation for an adult (with or without the need for an interpreter) that is available OTC and has a low risk of harm (does not include NSAID) is prescribed with “as directed” dosage instructions.</w:t>
            </w:r>
          </w:p>
          <w:p w:rsidR="008519AA" w:rsidRPr="009354BC" w:rsidRDefault="008519AA" w:rsidP="00FF6D16">
            <w:pPr>
              <w:rPr>
                <w:rFonts w:ascii="Lato" w:eastAsia="Times New Roman" w:hAnsi="Lato" w:cs="Times New Roman"/>
                <w:i/>
                <w:sz w:val="24"/>
                <w:szCs w:val="24"/>
                <w:lang w:eastAsia="en-GB"/>
              </w:rPr>
            </w:pPr>
            <w:r w:rsidRPr="009354BC">
              <w:rPr>
                <w:rFonts w:ascii="Lato" w:hAnsi="Lato" w:cs="Calibri"/>
                <w:i/>
                <w:color w:val="000000"/>
                <w:sz w:val="24"/>
                <w:szCs w:val="24"/>
              </w:rPr>
              <w:t xml:space="preserve">Example:  a) No directions on </w:t>
            </w:r>
            <w:proofErr w:type="spellStart"/>
            <w:r w:rsidRPr="009354BC">
              <w:rPr>
                <w:rFonts w:ascii="Lato" w:hAnsi="Lato" w:cs="Calibri"/>
                <w:i/>
                <w:color w:val="000000"/>
                <w:sz w:val="24"/>
                <w:szCs w:val="24"/>
              </w:rPr>
              <w:t>Lacri</w:t>
            </w:r>
            <w:proofErr w:type="spellEnd"/>
            <w:r w:rsidRPr="009354BC">
              <w:rPr>
                <w:rFonts w:ascii="Lato" w:hAnsi="Lato" w:cs="Calibri"/>
                <w:i/>
                <w:color w:val="000000"/>
                <w:sz w:val="24"/>
                <w:szCs w:val="24"/>
              </w:rPr>
              <w:t>-lube® eye ointment in a 15-year-old b) No dose prescribed for spa-tone in a 30-week pregnant woman.</w:t>
            </w:r>
          </w:p>
        </w:tc>
      </w:tr>
      <w:tr w:rsidR="008519AA" w:rsidRPr="009354BC" w:rsidTr="00FF6D16">
        <w:trPr>
          <w:trHeight w:val="480"/>
        </w:trPr>
        <w:tc>
          <w:tcPr>
            <w:tcW w:w="0" w:type="auto"/>
          </w:tcPr>
          <w:p w:rsidR="008519AA" w:rsidRPr="009354BC" w:rsidRDefault="008519AA" w:rsidP="00FF6D16">
            <w:pPr>
              <w:rPr>
                <w:rFonts w:ascii="Lato" w:eastAsia="Times New Roman" w:hAnsi="Lato" w:cs="Calibri"/>
                <w:color w:val="000000"/>
                <w:sz w:val="24"/>
                <w:szCs w:val="24"/>
                <w:lang w:eastAsia="en-GB"/>
              </w:rPr>
            </w:pPr>
            <w:r w:rsidRPr="009354BC">
              <w:rPr>
                <w:rFonts w:ascii="Lato" w:eastAsia="Times New Roman" w:hAnsi="Lato" w:cs="Calibri"/>
                <w:color w:val="000000"/>
                <w:sz w:val="24"/>
                <w:szCs w:val="24"/>
                <w:lang w:eastAsia="en-GB"/>
              </w:rPr>
              <w:lastRenderedPageBreak/>
              <w:t xml:space="preserve">Medication, with significant risk of harm if not taken according to precise dosage instructions, prescribed “as directed” (e.g. amiodarone, betablockers, methotrexate, paracetamol suspension for a child </w:t>
            </w:r>
            <w:proofErr w:type="spellStart"/>
            <w:r w:rsidRPr="009354BC">
              <w:rPr>
                <w:rFonts w:ascii="Lato" w:eastAsia="Times New Roman" w:hAnsi="Lato" w:cs="Calibri"/>
                <w:color w:val="000000"/>
                <w:sz w:val="24"/>
                <w:szCs w:val="24"/>
                <w:lang w:eastAsia="en-GB"/>
              </w:rPr>
              <w:t>n.b.</w:t>
            </w:r>
            <w:proofErr w:type="spellEnd"/>
            <w:r w:rsidRPr="009354BC">
              <w:rPr>
                <w:rFonts w:ascii="Lato" w:eastAsia="Times New Roman" w:hAnsi="Lato" w:cs="Calibri"/>
                <w:color w:val="000000"/>
                <w:sz w:val="24"/>
                <w:szCs w:val="24"/>
                <w:lang w:eastAsia="en-GB"/>
              </w:rPr>
              <w:t xml:space="preserve"> warfarin not included).</w:t>
            </w:r>
          </w:p>
        </w:tc>
        <w:tc>
          <w:tcPr>
            <w:tcW w:w="7175" w:type="dxa"/>
          </w:tcPr>
          <w:p w:rsidR="008519AA" w:rsidRPr="009354BC" w:rsidRDefault="008519AA" w:rsidP="00FF6D16">
            <w:pPr>
              <w:rPr>
                <w:rFonts w:ascii="Lato" w:hAnsi="Lato" w:cs="Calibri"/>
                <w:color w:val="000000"/>
                <w:sz w:val="24"/>
                <w:szCs w:val="24"/>
              </w:rPr>
            </w:pPr>
            <w:r w:rsidRPr="009354BC">
              <w:rPr>
                <w:rFonts w:ascii="Lato" w:hAnsi="Lato" w:cs="Calibri"/>
                <w:color w:val="000000"/>
                <w:sz w:val="24"/>
                <w:szCs w:val="24"/>
              </w:rPr>
              <w:t xml:space="preserve">Eye /ear drops for acute infections without the treatment eye/ear stated where the patient is an adult and would be able to remember the treatment eye/ear. </w:t>
            </w:r>
          </w:p>
        </w:tc>
      </w:tr>
      <w:tr w:rsidR="008519AA" w:rsidRPr="009354BC" w:rsidTr="00FF6D16">
        <w:trPr>
          <w:trHeight w:val="480"/>
        </w:trPr>
        <w:tc>
          <w:tcPr>
            <w:tcW w:w="0" w:type="auto"/>
          </w:tcPr>
          <w:p w:rsidR="008519AA" w:rsidRPr="009354BC" w:rsidRDefault="008519AA" w:rsidP="00FF6D16">
            <w:pPr>
              <w:rPr>
                <w:rFonts w:ascii="Lato" w:eastAsia="Times New Roman" w:hAnsi="Lato" w:cs="Calibri"/>
                <w:color w:val="000000"/>
                <w:sz w:val="24"/>
                <w:szCs w:val="24"/>
                <w:lang w:eastAsia="en-GB"/>
              </w:rPr>
            </w:pPr>
            <w:r w:rsidRPr="009354BC">
              <w:rPr>
                <w:rFonts w:ascii="Lato" w:eastAsia="Times New Roman" w:hAnsi="Lato" w:cs="Calibri"/>
                <w:color w:val="000000"/>
                <w:sz w:val="24"/>
                <w:szCs w:val="24"/>
                <w:lang w:eastAsia="en-GB"/>
              </w:rPr>
              <w:t>Prescription of a topical product with significant potential for harm if dosage instructions are incorrect or not clear, e.g. moderate-potent corticosteroid in a child, or potent corticosteroid in an adult, or products containing antibacterial agents (includes lack of information on duration of use).</w:t>
            </w:r>
          </w:p>
        </w:tc>
        <w:tc>
          <w:tcPr>
            <w:tcW w:w="7175" w:type="dxa"/>
          </w:tcPr>
          <w:p w:rsidR="008519AA" w:rsidRPr="009354BC" w:rsidRDefault="008519AA" w:rsidP="00FF6D16">
            <w:pPr>
              <w:rPr>
                <w:rFonts w:ascii="Lato" w:hAnsi="Lato" w:cs="Calibri"/>
                <w:color w:val="000000"/>
                <w:sz w:val="24"/>
                <w:szCs w:val="24"/>
              </w:rPr>
            </w:pPr>
            <w:r w:rsidRPr="009354BC">
              <w:rPr>
                <w:rFonts w:ascii="Lato" w:hAnsi="Lato" w:cs="Calibri"/>
                <w:color w:val="000000"/>
                <w:sz w:val="24"/>
                <w:szCs w:val="24"/>
              </w:rPr>
              <w:t xml:space="preserve">Prescription of a topical product with low potential for harm if dosage instructions are incorrect or not clear, e.g. mild corticosteroid in a child, or mild to moderately potent corticosteroid in an adult. </w:t>
            </w:r>
          </w:p>
        </w:tc>
      </w:tr>
      <w:tr w:rsidR="008519AA" w:rsidRPr="009354BC" w:rsidTr="00FF6D16">
        <w:trPr>
          <w:trHeight w:val="480"/>
        </w:trPr>
        <w:tc>
          <w:tcPr>
            <w:tcW w:w="0" w:type="auto"/>
          </w:tcPr>
          <w:p w:rsidR="008519AA" w:rsidRPr="009354BC" w:rsidRDefault="008519AA" w:rsidP="00FF6D16">
            <w:pPr>
              <w:rPr>
                <w:rFonts w:ascii="Lato" w:eastAsia="Times New Roman" w:hAnsi="Lato" w:cs="Calibri"/>
                <w:color w:val="000000"/>
                <w:sz w:val="24"/>
                <w:szCs w:val="24"/>
                <w:lang w:eastAsia="en-GB"/>
              </w:rPr>
            </w:pPr>
            <w:r w:rsidRPr="009354BC">
              <w:rPr>
                <w:rFonts w:ascii="Lato" w:eastAsia="Times New Roman" w:hAnsi="Lato" w:cs="Calibri"/>
                <w:color w:val="000000"/>
                <w:sz w:val="24"/>
                <w:szCs w:val="24"/>
                <w:lang w:eastAsia="en-GB"/>
              </w:rPr>
              <w:t>Prescription of oral antibiotics without clear dosage instructions, e.g. PRN.</w:t>
            </w:r>
          </w:p>
        </w:tc>
        <w:tc>
          <w:tcPr>
            <w:tcW w:w="7175" w:type="dxa"/>
          </w:tcPr>
          <w:p w:rsidR="008519AA" w:rsidRPr="009354BC" w:rsidRDefault="008519AA" w:rsidP="00FF6D16">
            <w:pPr>
              <w:rPr>
                <w:rFonts w:ascii="Lato" w:hAnsi="Lato" w:cs="Calibri"/>
                <w:color w:val="000000"/>
                <w:sz w:val="24"/>
                <w:szCs w:val="24"/>
              </w:rPr>
            </w:pPr>
          </w:p>
        </w:tc>
      </w:tr>
      <w:tr w:rsidR="008519AA" w:rsidRPr="009354BC" w:rsidTr="00FF6D16">
        <w:trPr>
          <w:trHeight w:val="480"/>
        </w:trPr>
        <w:tc>
          <w:tcPr>
            <w:tcW w:w="0" w:type="auto"/>
          </w:tcPr>
          <w:p w:rsidR="008519AA" w:rsidRPr="009354BC" w:rsidRDefault="008519AA" w:rsidP="00FF6D16">
            <w:pPr>
              <w:rPr>
                <w:rFonts w:ascii="Lato" w:eastAsia="Times New Roman" w:hAnsi="Lato" w:cs="Calibri"/>
                <w:color w:val="000000"/>
                <w:sz w:val="24"/>
                <w:szCs w:val="24"/>
                <w:lang w:eastAsia="en-GB"/>
              </w:rPr>
            </w:pPr>
            <w:r w:rsidRPr="009354BC">
              <w:rPr>
                <w:rFonts w:ascii="Lato" w:eastAsia="Times New Roman" w:hAnsi="Lato" w:cs="Calibri"/>
                <w:color w:val="000000"/>
                <w:sz w:val="24"/>
                <w:szCs w:val="24"/>
                <w:lang w:eastAsia="en-GB"/>
              </w:rPr>
              <w:t>Eye drops for glaucoma or that contain steroids prescribed without clear directions as to the eye for administration or frequency of use.</w:t>
            </w:r>
          </w:p>
        </w:tc>
        <w:tc>
          <w:tcPr>
            <w:tcW w:w="7175" w:type="dxa"/>
          </w:tcPr>
          <w:p w:rsidR="008519AA" w:rsidRPr="009354BC" w:rsidRDefault="008519AA" w:rsidP="00FF6D16">
            <w:pPr>
              <w:rPr>
                <w:rFonts w:ascii="Lato" w:hAnsi="Lato" w:cs="Calibri"/>
                <w:color w:val="000000"/>
                <w:sz w:val="24"/>
                <w:szCs w:val="24"/>
              </w:rPr>
            </w:pPr>
          </w:p>
        </w:tc>
      </w:tr>
      <w:tr w:rsidR="008519AA" w:rsidRPr="009354BC" w:rsidTr="00FF6D16">
        <w:trPr>
          <w:trHeight w:val="480"/>
        </w:trPr>
        <w:tc>
          <w:tcPr>
            <w:tcW w:w="0" w:type="auto"/>
          </w:tcPr>
          <w:p w:rsidR="008519AA" w:rsidRPr="009354BC" w:rsidRDefault="008519AA" w:rsidP="00FF6D16">
            <w:pPr>
              <w:rPr>
                <w:rFonts w:ascii="Lato" w:eastAsia="Times New Roman" w:hAnsi="Lato" w:cs="Calibri"/>
                <w:color w:val="000000"/>
                <w:sz w:val="24"/>
                <w:szCs w:val="24"/>
                <w:lang w:eastAsia="en-GB"/>
              </w:rPr>
            </w:pPr>
            <w:r w:rsidRPr="009354BC">
              <w:rPr>
                <w:rFonts w:ascii="Lato" w:eastAsia="Times New Roman" w:hAnsi="Lato" w:cs="Calibri"/>
                <w:color w:val="000000"/>
                <w:sz w:val="24"/>
                <w:szCs w:val="24"/>
                <w:lang w:eastAsia="en-GB"/>
              </w:rPr>
              <w:t xml:space="preserve">Drops that can be used in more than one route e.g. Eye/ear or eye/ear/nose without specifying where to use them.  </w:t>
            </w:r>
          </w:p>
          <w:p w:rsidR="008519AA" w:rsidRPr="009354BC" w:rsidRDefault="008519AA" w:rsidP="00FF6D16">
            <w:pPr>
              <w:rPr>
                <w:rFonts w:ascii="Lato" w:eastAsia="Times New Roman" w:hAnsi="Lato" w:cs="Calibri"/>
                <w:i/>
                <w:color w:val="000000"/>
                <w:sz w:val="24"/>
                <w:szCs w:val="24"/>
                <w:lang w:eastAsia="en-GB"/>
              </w:rPr>
            </w:pPr>
            <w:r w:rsidRPr="009354BC">
              <w:rPr>
                <w:rFonts w:ascii="Lato" w:eastAsia="Times New Roman" w:hAnsi="Lato" w:cs="Calibri"/>
                <w:i/>
                <w:color w:val="000000"/>
                <w:sz w:val="24"/>
                <w:szCs w:val="24"/>
                <w:lang w:eastAsia="en-GB"/>
              </w:rPr>
              <w:t xml:space="preserve">Example: </w:t>
            </w:r>
            <w:proofErr w:type="spellStart"/>
            <w:r w:rsidRPr="009354BC">
              <w:rPr>
                <w:rFonts w:ascii="Lato" w:eastAsia="Times New Roman" w:hAnsi="Lato" w:cs="Calibri"/>
                <w:i/>
                <w:color w:val="000000"/>
                <w:sz w:val="24"/>
                <w:szCs w:val="24"/>
                <w:lang w:eastAsia="en-GB"/>
              </w:rPr>
              <w:t>Sofradex</w:t>
            </w:r>
            <w:proofErr w:type="spellEnd"/>
            <w:r w:rsidRPr="009354BC">
              <w:rPr>
                <w:rFonts w:ascii="Lato" w:eastAsia="Times New Roman" w:hAnsi="Lato" w:cs="Calibri"/>
                <w:i/>
                <w:color w:val="000000"/>
                <w:sz w:val="24"/>
                <w:szCs w:val="24"/>
                <w:lang w:eastAsia="en-GB"/>
              </w:rPr>
              <w:t>® eye/ear drops</w:t>
            </w:r>
          </w:p>
        </w:tc>
        <w:tc>
          <w:tcPr>
            <w:tcW w:w="7175" w:type="dxa"/>
          </w:tcPr>
          <w:p w:rsidR="008519AA" w:rsidRPr="009354BC" w:rsidRDefault="008519AA" w:rsidP="00FF6D16">
            <w:pPr>
              <w:rPr>
                <w:rFonts w:ascii="Lato" w:hAnsi="Lato" w:cs="Calibri"/>
                <w:color w:val="000000"/>
                <w:sz w:val="24"/>
                <w:szCs w:val="24"/>
              </w:rPr>
            </w:pPr>
          </w:p>
        </w:tc>
      </w:tr>
      <w:tr w:rsidR="008519AA" w:rsidRPr="009354BC" w:rsidTr="00FF6D16">
        <w:trPr>
          <w:trHeight w:val="480"/>
        </w:trPr>
        <w:tc>
          <w:tcPr>
            <w:tcW w:w="0" w:type="auto"/>
          </w:tcPr>
          <w:p w:rsidR="008519AA" w:rsidRPr="009354BC" w:rsidRDefault="008519AA" w:rsidP="00FF6D16">
            <w:pPr>
              <w:rPr>
                <w:rFonts w:ascii="Lato" w:eastAsia="Times New Roman" w:hAnsi="Lato" w:cs="Calibri"/>
                <w:color w:val="000000"/>
                <w:sz w:val="24"/>
                <w:szCs w:val="24"/>
                <w:lang w:eastAsia="en-GB"/>
              </w:rPr>
            </w:pPr>
            <w:r w:rsidRPr="009354BC">
              <w:rPr>
                <w:rFonts w:ascii="Lato" w:eastAsia="Times New Roman" w:hAnsi="Lato" w:cs="Calibri"/>
                <w:color w:val="000000"/>
                <w:sz w:val="24"/>
                <w:szCs w:val="24"/>
                <w:lang w:eastAsia="en-GB"/>
              </w:rPr>
              <w:t>Strong opioids with inadequate dosage instructions.</w:t>
            </w:r>
          </w:p>
          <w:p w:rsidR="008519AA" w:rsidRPr="009354BC" w:rsidRDefault="008519AA" w:rsidP="00FF6D16">
            <w:pPr>
              <w:rPr>
                <w:rFonts w:ascii="Lato" w:eastAsia="Times New Roman" w:hAnsi="Lato" w:cs="Calibri"/>
                <w:i/>
                <w:color w:val="000000"/>
                <w:sz w:val="24"/>
                <w:szCs w:val="24"/>
                <w:lang w:eastAsia="en-GB"/>
              </w:rPr>
            </w:pPr>
            <w:r w:rsidRPr="009354BC">
              <w:rPr>
                <w:rFonts w:ascii="Lato" w:eastAsia="Times New Roman" w:hAnsi="Lato" w:cs="Calibri"/>
                <w:i/>
                <w:color w:val="000000"/>
                <w:sz w:val="24"/>
                <w:szCs w:val="24"/>
                <w:lang w:eastAsia="en-GB"/>
              </w:rPr>
              <w:t xml:space="preserve">Example: Morphine </w:t>
            </w:r>
            <w:proofErr w:type="gramStart"/>
            <w:r w:rsidRPr="009354BC">
              <w:rPr>
                <w:rFonts w:ascii="Lato" w:eastAsia="Times New Roman" w:hAnsi="Lato" w:cs="Calibri"/>
                <w:i/>
                <w:color w:val="000000"/>
                <w:sz w:val="24"/>
                <w:szCs w:val="24"/>
                <w:lang w:eastAsia="en-GB"/>
              </w:rPr>
              <w:t>prescribed  with</w:t>
            </w:r>
            <w:proofErr w:type="gramEnd"/>
            <w:r w:rsidRPr="009354BC">
              <w:rPr>
                <w:rFonts w:ascii="Lato" w:eastAsia="Times New Roman" w:hAnsi="Lato" w:cs="Calibri"/>
                <w:i/>
                <w:color w:val="000000"/>
                <w:sz w:val="24"/>
                <w:szCs w:val="24"/>
                <w:lang w:eastAsia="en-GB"/>
              </w:rPr>
              <w:t xml:space="preserve"> no frequency on the prescription only take 2.5 to 5ml as required</w:t>
            </w:r>
          </w:p>
        </w:tc>
        <w:tc>
          <w:tcPr>
            <w:tcW w:w="7175" w:type="dxa"/>
          </w:tcPr>
          <w:p w:rsidR="008519AA" w:rsidRPr="009354BC" w:rsidRDefault="008519AA" w:rsidP="00FF6D16">
            <w:pPr>
              <w:rPr>
                <w:rFonts w:ascii="Lato" w:hAnsi="Lato" w:cs="Calibri"/>
                <w:color w:val="000000"/>
                <w:sz w:val="24"/>
                <w:szCs w:val="24"/>
              </w:rPr>
            </w:pPr>
          </w:p>
        </w:tc>
      </w:tr>
      <w:tr w:rsidR="008519AA" w:rsidRPr="009354BC" w:rsidTr="00FF6D16">
        <w:trPr>
          <w:trHeight w:val="480"/>
        </w:trPr>
        <w:tc>
          <w:tcPr>
            <w:tcW w:w="0" w:type="auto"/>
          </w:tcPr>
          <w:p w:rsidR="008519AA" w:rsidRPr="009354BC" w:rsidRDefault="008519AA" w:rsidP="00FF6D16">
            <w:pPr>
              <w:rPr>
                <w:rFonts w:ascii="Lato" w:eastAsia="Times New Roman" w:hAnsi="Lato" w:cs="Calibri"/>
                <w:color w:val="000000"/>
                <w:sz w:val="24"/>
                <w:szCs w:val="24"/>
                <w:lang w:eastAsia="en-GB"/>
              </w:rPr>
            </w:pPr>
            <w:r w:rsidRPr="009354BC">
              <w:rPr>
                <w:rFonts w:ascii="Lato" w:eastAsia="Times New Roman" w:hAnsi="Lato" w:cs="Calibri"/>
                <w:color w:val="000000"/>
                <w:sz w:val="24"/>
                <w:szCs w:val="24"/>
                <w:lang w:eastAsia="en-GB"/>
              </w:rPr>
              <w:lastRenderedPageBreak/>
              <w:t>Ambiguous or unclear dosing instructions for a medication that can cause significant harm.</w:t>
            </w:r>
          </w:p>
          <w:p w:rsidR="008519AA" w:rsidRPr="009354BC" w:rsidRDefault="008519AA" w:rsidP="00FF6D16">
            <w:pPr>
              <w:rPr>
                <w:rFonts w:ascii="Lato" w:eastAsia="Times New Roman" w:hAnsi="Lato" w:cs="Calibri"/>
                <w:i/>
                <w:color w:val="000000"/>
                <w:sz w:val="24"/>
                <w:szCs w:val="24"/>
                <w:lang w:eastAsia="en-GB"/>
              </w:rPr>
            </w:pPr>
            <w:r w:rsidRPr="009354BC">
              <w:rPr>
                <w:rFonts w:ascii="Lato" w:eastAsia="Times New Roman" w:hAnsi="Lato" w:cs="Calibri"/>
                <w:i/>
                <w:color w:val="000000"/>
                <w:sz w:val="24"/>
                <w:szCs w:val="24"/>
                <w:lang w:eastAsia="en-GB"/>
              </w:rPr>
              <w:t xml:space="preserve">Example: Nortriptyline prescribed as: 2 TABLETS NIGHT/DAY as this could be interpreted as 2 per day or 2 twice a day </w:t>
            </w:r>
          </w:p>
        </w:tc>
        <w:tc>
          <w:tcPr>
            <w:tcW w:w="7175" w:type="dxa"/>
          </w:tcPr>
          <w:p w:rsidR="008519AA" w:rsidRPr="009354BC" w:rsidRDefault="008519AA" w:rsidP="00FF6D16">
            <w:pPr>
              <w:rPr>
                <w:rFonts w:ascii="Lato" w:hAnsi="Lato" w:cs="Calibri"/>
                <w:color w:val="000000"/>
                <w:sz w:val="24"/>
                <w:szCs w:val="24"/>
              </w:rPr>
            </w:pPr>
          </w:p>
        </w:tc>
      </w:tr>
      <w:tr w:rsidR="008519AA" w:rsidRPr="009354BC" w:rsidTr="00FF6D16">
        <w:trPr>
          <w:trHeight w:val="480"/>
        </w:trPr>
        <w:tc>
          <w:tcPr>
            <w:tcW w:w="0" w:type="auto"/>
          </w:tcPr>
          <w:p w:rsidR="008519AA" w:rsidRPr="009354BC" w:rsidRDefault="008519AA" w:rsidP="00FF6D16">
            <w:pPr>
              <w:rPr>
                <w:rFonts w:ascii="Lato" w:eastAsia="Times New Roman" w:hAnsi="Lato" w:cs="Calibri"/>
                <w:color w:val="000000"/>
                <w:sz w:val="24"/>
                <w:szCs w:val="24"/>
                <w:lang w:eastAsia="en-GB"/>
              </w:rPr>
            </w:pPr>
            <w:r w:rsidRPr="009354BC">
              <w:rPr>
                <w:rFonts w:ascii="Lato" w:eastAsia="Times New Roman" w:hAnsi="Lato" w:cs="Calibri"/>
                <w:color w:val="000000"/>
                <w:sz w:val="24"/>
                <w:szCs w:val="24"/>
                <w:lang w:eastAsia="en-GB"/>
              </w:rPr>
              <w:t>Eye drops/ear drops for infections without treatment eye/ear stated when multiple carers will be involved. (The panel felt that without the treatment eye stated then there is a reliance on verbal instructions being passed between different carers and therefore a high risk of them being administered incorrectly.</w:t>
            </w:r>
          </w:p>
          <w:p w:rsidR="008519AA" w:rsidRPr="009354BC" w:rsidRDefault="008519AA" w:rsidP="00FF6D16">
            <w:pPr>
              <w:rPr>
                <w:rFonts w:ascii="Lato" w:eastAsia="Times New Roman" w:hAnsi="Lato" w:cs="Calibri"/>
                <w:i/>
                <w:color w:val="000000"/>
                <w:sz w:val="24"/>
                <w:szCs w:val="24"/>
                <w:lang w:eastAsia="en-GB"/>
              </w:rPr>
            </w:pPr>
            <w:r w:rsidRPr="009354BC">
              <w:rPr>
                <w:rFonts w:ascii="Lato" w:eastAsia="Times New Roman" w:hAnsi="Lato" w:cs="Calibri"/>
                <w:i/>
                <w:color w:val="000000"/>
                <w:sz w:val="24"/>
                <w:szCs w:val="24"/>
                <w:lang w:eastAsia="en-GB"/>
              </w:rPr>
              <w:t>Example: nursing/care/learning disability home, young child attending nursery, young child/baby seen by GP with Grandparent.</w:t>
            </w:r>
          </w:p>
        </w:tc>
        <w:tc>
          <w:tcPr>
            <w:tcW w:w="7175" w:type="dxa"/>
          </w:tcPr>
          <w:p w:rsidR="008519AA" w:rsidRPr="009354BC" w:rsidRDefault="008519AA" w:rsidP="00FF6D16">
            <w:pPr>
              <w:rPr>
                <w:rFonts w:ascii="Lato" w:hAnsi="Lato" w:cs="Calibri"/>
                <w:color w:val="000000"/>
                <w:sz w:val="24"/>
                <w:szCs w:val="24"/>
              </w:rPr>
            </w:pPr>
          </w:p>
        </w:tc>
      </w:tr>
    </w:tbl>
    <w:p w:rsidR="008519AA" w:rsidRPr="009354BC" w:rsidRDefault="008519AA" w:rsidP="008519AA">
      <w:pPr>
        <w:rPr>
          <w:rFonts w:ascii="Lato" w:hAnsi="Lato"/>
        </w:rPr>
      </w:pPr>
    </w:p>
    <w:p w:rsidR="008519AA" w:rsidRPr="009354BC" w:rsidRDefault="008519AA" w:rsidP="008519AA">
      <w:pPr>
        <w:rPr>
          <w:rFonts w:ascii="Lato" w:hAnsi="Lato"/>
          <w:b/>
          <w:sz w:val="28"/>
        </w:rPr>
      </w:pPr>
      <w:r w:rsidRPr="009354BC">
        <w:rPr>
          <w:rFonts w:ascii="Lato" w:hAnsi="Lato"/>
          <w:b/>
          <w:sz w:val="28"/>
        </w:rPr>
        <w:br w:type="page"/>
      </w:r>
    </w:p>
    <w:p w:rsidR="008519AA" w:rsidRPr="009354BC" w:rsidRDefault="008519AA" w:rsidP="008519AA">
      <w:pPr>
        <w:rPr>
          <w:rFonts w:ascii="Lato" w:hAnsi="Lato"/>
          <w:b/>
          <w:sz w:val="28"/>
        </w:rPr>
      </w:pPr>
      <w:r w:rsidRPr="009354BC">
        <w:rPr>
          <w:rFonts w:ascii="Lato" w:hAnsi="Lato"/>
          <w:b/>
          <w:sz w:val="28"/>
        </w:rPr>
        <w:lastRenderedPageBreak/>
        <w:t xml:space="preserve">Right Follow Up </w:t>
      </w:r>
    </w:p>
    <w:tbl>
      <w:tblPr>
        <w:tblStyle w:val="TableGrid"/>
        <w:tblW w:w="14850" w:type="dxa"/>
        <w:tblLook w:val="04A0" w:firstRow="1" w:lastRow="0" w:firstColumn="1" w:lastColumn="0" w:noHBand="0" w:noVBand="1"/>
      </w:tblPr>
      <w:tblGrid>
        <w:gridCol w:w="7338"/>
        <w:gridCol w:w="7512"/>
      </w:tblGrid>
      <w:tr w:rsidR="008519AA" w:rsidRPr="009354BC" w:rsidTr="00FF6D16">
        <w:trPr>
          <w:trHeight w:val="512"/>
        </w:trPr>
        <w:tc>
          <w:tcPr>
            <w:tcW w:w="7338" w:type="dxa"/>
          </w:tcPr>
          <w:p w:rsidR="008519AA" w:rsidRPr="009354BC" w:rsidRDefault="008519AA" w:rsidP="00FF6D16">
            <w:pPr>
              <w:jc w:val="center"/>
              <w:rPr>
                <w:rFonts w:ascii="Lato" w:hAnsi="Lato"/>
                <w:b/>
                <w:sz w:val="28"/>
                <w:szCs w:val="24"/>
              </w:rPr>
            </w:pPr>
            <w:r w:rsidRPr="009354BC">
              <w:rPr>
                <w:rFonts w:ascii="Lato" w:hAnsi="Lato"/>
                <w:b/>
                <w:sz w:val="28"/>
                <w:szCs w:val="24"/>
              </w:rPr>
              <w:t>Prescribing error</w:t>
            </w:r>
          </w:p>
        </w:tc>
        <w:tc>
          <w:tcPr>
            <w:tcW w:w="7512" w:type="dxa"/>
          </w:tcPr>
          <w:p w:rsidR="008519AA" w:rsidRPr="009354BC" w:rsidRDefault="008519AA" w:rsidP="00FF6D16">
            <w:pPr>
              <w:jc w:val="center"/>
              <w:rPr>
                <w:rFonts w:ascii="Lato" w:hAnsi="Lato"/>
                <w:b/>
                <w:sz w:val="28"/>
                <w:szCs w:val="24"/>
              </w:rPr>
            </w:pPr>
            <w:r w:rsidRPr="009354BC">
              <w:rPr>
                <w:rFonts w:ascii="Lato" w:hAnsi="Lato"/>
                <w:b/>
                <w:sz w:val="28"/>
                <w:szCs w:val="24"/>
              </w:rPr>
              <w:t>Sub-optimal prescribing event</w:t>
            </w:r>
          </w:p>
        </w:tc>
      </w:tr>
      <w:tr w:rsidR="008519AA" w:rsidRPr="009354BC" w:rsidTr="00FF6D16">
        <w:trPr>
          <w:trHeight w:val="1440"/>
        </w:trPr>
        <w:tc>
          <w:tcPr>
            <w:tcW w:w="7338" w:type="dxa"/>
          </w:tcPr>
          <w:p w:rsidR="008519AA" w:rsidRPr="009354BC" w:rsidRDefault="008519AA" w:rsidP="00FF6D16">
            <w:pPr>
              <w:rPr>
                <w:rFonts w:ascii="Lato" w:hAnsi="Lato"/>
                <w:sz w:val="24"/>
                <w:szCs w:val="24"/>
              </w:rPr>
            </w:pPr>
            <w:r w:rsidRPr="009354BC">
              <w:rPr>
                <w:rFonts w:ascii="Lato" w:hAnsi="Lato"/>
                <w:sz w:val="24"/>
                <w:szCs w:val="24"/>
              </w:rPr>
              <w:t>Monitoring not requested.</w:t>
            </w:r>
          </w:p>
          <w:p w:rsidR="008519AA" w:rsidRPr="009354BC" w:rsidRDefault="008519AA" w:rsidP="00FF6D16">
            <w:pPr>
              <w:rPr>
                <w:rFonts w:ascii="Lato" w:hAnsi="Lato"/>
                <w:i/>
                <w:sz w:val="24"/>
                <w:szCs w:val="24"/>
              </w:rPr>
            </w:pPr>
            <w:r w:rsidRPr="009354BC">
              <w:rPr>
                <w:rFonts w:ascii="Lato" w:hAnsi="Lato"/>
                <w:i/>
                <w:sz w:val="24"/>
                <w:szCs w:val="24"/>
              </w:rPr>
              <w:t>Example: a) Not responding to a request from secondary care to undertake laboratory test monitoring where this request is justified in terms of risks from the medication the patient is taking. b) Increasing the dose of an ACE inhibitor/ARB antagonist without checking U&amp;E within three weeks.</w:t>
            </w:r>
          </w:p>
        </w:tc>
        <w:tc>
          <w:tcPr>
            <w:tcW w:w="7512" w:type="dxa"/>
          </w:tcPr>
          <w:p w:rsidR="008519AA" w:rsidRPr="009354BC" w:rsidRDefault="008519AA" w:rsidP="00FF6D16">
            <w:pPr>
              <w:rPr>
                <w:rFonts w:ascii="Lato" w:hAnsi="Lato"/>
                <w:sz w:val="24"/>
                <w:szCs w:val="24"/>
              </w:rPr>
            </w:pPr>
            <w:r w:rsidRPr="009354BC">
              <w:rPr>
                <w:rFonts w:ascii="Lato" w:hAnsi="Lato"/>
                <w:sz w:val="24"/>
                <w:szCs w:val="24"/>
              </w:rPr>
              <w:t>Monitoring not requested.</w:t>
            </w:r>
          </w:p>
          <w:p w:rsidR="008519AA" w:rsidRPr="009354BC" w:rsidRDefault="008519AA" w:rsidP="00FF6D16">
            <w:pPr>
              <w:rPr>
                <w:rFonts w:ascii="Lato" w:hAnsi="Lato"/>
                <w:i/>
                <w:sz w:val="24"/>
                <w:szCs w:val="24"/>
              </w:rPr>
            </w:pPr>
            <w:r w:rsidRPr="009354BC">
              <w:rPr>
                <w:rFonts w:ascii="Lato" w:hAnsi="Lato"/>
                <w:i/>
                <w:sz w:val="24"/>
                <w:szCs w:val="24"/>
              </w:rPr>
              <w:t>Example: Failure to do a digoxin level for a patient who has not had one done for a number of years and whose renal function has reduced but there are no clinical symptoms of overdose.</w:t>
            </w:r>
          </w:p>
        </w:tc>
      </w:tr>
      <w:tr w:rsidR="008519AA" w:rsidRPr="009354BC" w:rsidTr="00FF6D16">
        <w:trPr>
          <w:trHeight w:val="1440"/>
        </w:trPr>
        <w:tc>
          <w:tcPr>
            <w:tcW w:w="7338" w:type="dxa"/>
          </w:tcPr>
          <w:p w:rsidR="008519AA" w:rsidRPr="009354BC" w:rsidRDefault="008519AA" w:rsidP="00FF6D16">
            <w:pPr>
              <w:rPr>
                <w:rFonts w:ascii="Lato" w:hAnsi="Lato"/>
                <w:sz w:val="24"/>
                <w:szCs w:val="24"/>
              </w:rPr>
            </w:pPr>
            <w:r w:rsidRPr="009354BC">
              <w:rPr>
                <w:rFonts w:ascii="Lato" w:hAnsi="Lato"/>
                <w:sz w:val="24"/>
                <w:szCs w:val="24"/>
              </w:rPr>
              <w:t>Prescribing of a long term antimicrobial agent for an active infection without a clinical review.</w:t>
            </w:r>
          </w:p>
          <w:p w:rsidR="008519AA" w:rsidRPr="009354BC" w:rsidRDefault="008519AA" w:rsidP="00FF6D16">
            <w:pPr>
              <w:rPr>
                <w:rFonts w:ascii="Lato" w:hAnsi="Lato"/>
                <w:i/>
                <w:sz w:val="24"/>
                <w:szCs w:val="24"/>
              </w:rPr>
            </w:pPr>
            <w:r w:rsidRPr="009354BC">
              <w:rPr>
                <w:rFonts w:ascii="Lato" w:hAnsi="Lato"/>
                <w:i/>
                <w:sz w:val="24"/>
                <w:szCs w:val="24"/>
              </w:rPr>
              <w:t>Example: Terbinafine for 9 months when only 6 months was required.</w:t>
            </w:r>
          </w:p>
        </w:tc>
        <w:tc>
          <w:tcPr>
            <w:tcW w:w="7512" w:type="dxa"/>
          </w:tcPr>
          <w:p w:rsidR="008519AA" w:rsidRPr="009354BC" w:rsidRDefault="008519AA" w:rsidP="00FF6D16">
            <w:pPr>
              <w:rPr>
                <w:rFonts w:ascii="Lato" w:hAnsi="Lato"/>
                <w:i/>
                <w:sz w:val="24"/>
                <w:szCs w:val="24"/>
              </w:rPr>
            </w:pPr>
          </w:p>
        </w:tc>
      </w:tr>
    </w:tbl>
    <w:p w:rsidR="008519AA" w:rsidRPr="009354BC" w:rsidRDefault="008519AA" w:rsidP="008519AA">
      <w:pPr>
        <w:rPr>
          <w:rFonts w:ascii="Lato" w:hAnsi="Lato"/>
        </w:rPr>
      </w:pPr>
    </w:p>
    <w:p w:rsidR="008519AA" w:rsidRPr="009354BC" w:rsidRDefault="008519AA" w:rsidP="008519AA">
      <w:pPr>
        <w:rPr>
          <w:rFonts w:ascii="Lato" w:hAnsi="Lato"/>
          <w:b/>
          <w:sz w:val="28"/>
        </w:rPr>
      </w:pPr>
      <w:r w:rsidRPr="009354BC">
        <w:rPr>
          <w:rFonts w:ascii="Lato" w:hAnsi="Lato"/>
          <w:b/>
          <w:sz w:val="28"/>
        </w:rPr>
        <w:br w:type="page"/>
      </w:r>
    </w:p>
    <w:p w:rsidR="008519AA" w:rsidRPr="009354BC" w:rsidRDefault="008519AA" w:rsidP="008519AA">
      <w:pPr>
        <w:rPr>
          <w:rFonts w:ascii="Lato" w:hAnsi="Lato"/>
          <w:b/>
          <w:sz w:val="28"/>
        </w:rPr>
      </w:pPr>
      <w:r w:rsidRPr="009354BC">
        <w:rPr>
          <w:rFonts w:ascii="Lato" w:hAnsi="Lato"/>
          <w:b/>
          <w:sz w:val="28"/>
        </w:rPr>
        <w:lastRenderedPageBreak/>
        <w:t>Right Documentation</w:t>
      </w:r>
    </w:p>
    <w:tbl>
      <w:tblPr>
        <w:tblStyle w:val="TableGrid"/>
        <w:tblW w:w="0" w:type="auto"/>
        <w:tblLook w:val="04A0" w:firstRow="1" w:lastRow="0" w:firstColumn="1" w:lastColumn="0" w:noHBand="0" w:noVBand="1"/>
      </w:tblPr>
      <w:tblGrid>
        <w:gridCol w:w="7031"/>
        <w:gridCol w:w="6919"/>
      </w:tblGrid>
      <w:tr w:rsidR="008519AA" w:rsidRPr="009354BC" w:rsidTr="00FF6D16">
        <w:trPr>
          <w:trHeight w:val="512"/>
        </w:trPr>
        <w:tc>
          <w:tcPr>
            <w:tcW w:w="7479" w:type="dxa"/>
          </w:tcPr>
          <w:p w:rsidR="008519AA" w:rsidRPr="009354BC" w:rsidRDefault="008519AA" w:rsidP="00FF6D16">
            <w:pPr>
              <w:jc w:val="center"/>
              <w:rPr>
                <w:rFonts w:ascii="Lato" w:hAnsi="Lato"/>
                <w:b/>
                <w:sz w:val="28"/>
                <w:szCs w:val="24"/>
              </w:rPr>
            </w:pPr>
            <w:r w:rsidRPr="009354BC">
              <w:rPr>
                <w:rFonts w:ascii="Lato" w:hAnsi="Lato"/>
                <w:b/>
                <w:sz w:val="28"/>
                <w:szCs w:val="24"/>
              </w:rPr>
              <w:t>Prescribing error</w:t>
            </w:r>
          </w:p>
        </w:tc>
        <w:tc>
          <w:tcPr>
            <w:tcW w:w="7307" w:type="dxa"/>
          </w:tcPr>
          <w:p w:rsidR="008519AA" w:rsidRPr="009354BC" w:rsidRDefault="008519AA" w:rsidP="00FF6D16">
            <w:pPr>
              <w:jc w:val="center"/>
              <w:rPr>
                <w:rFonts w:ascii="Lato" w:hAnsi="Lato"/>
                <w:b/>
                <w:sz w:val="28"/>
                <w:szCs w:val="24"/>
              </w:rPr>
            </w:pPr>
            <w:r w:rsidRPr="009354BC">
              <w:rPr>
                <w:rFonts w:ascii="Lato" w:hAnsi="Lato"/>
                <w:b/>
                <w:sz w:val="28"/>
                <w:szCs w:val="24"/>
              </w:rPr>
              <w:t>Sub-optimal prescribing event</w:t>
            </w:r>
          </w:p>
        </w:tc>
      </w:tr>
      <w:tr w:rsidR="008519AA" w:rsidRPr="009354BC" w:rsidTr="00FF6D16">
        <w:trPr>
          <w:trHeight w:val="1440"/>
        </w:trPr>
        <w:tc>
          <w:tcPr>
            <w:tcW w:w="7479" w:type="dxa"/>
          </w:tcPr>
          <w:p w:rsidR="008519AA" w:rsidRPr="009354BC" w:rsidRDefault="008519AA" w:rsidP="00FF6D16">
            <w:pPr>
              <w:rPr>
                <w:rFonts w:ascii="Lato" w:hAnsi="Lato"/>
                <w:sz w:val="24"/>
                <w:szCs w:val="24"/>
              </w:rPr>
            </w:pPr>
            <w:r w:rsidRPr="009354BC">
              <w:rPr>
                <w:rFonts w:ascii="Lato" w:hAnsi="Lato"/>
                <w:sz w:val="24"/>
                <w:szCs w:val="24"/>
              </w:rPr>
              <w:t>Prescription of a drug with very high potential for harm without documented evidence of an indication for the drug.</w:t>
            </w:r>
          </w:p>
        </w:tc>
        <w:tc>
          <w:tcPr>
            <w:tcW w:w="7307" w:type="dxa"/>
          </w:tcPr>
          <w:p w:rsidR="008519AA" w:rsidRPr="009354BC" w:rsidRDefault="008519AA" w:rsidP="00FF6D16">
            <w:pPr>
              <w:rPr>
                <w:rFonts w:ascii="Lato" w:hAnsi="Lato"/>
                <w:sz w:val="24"/>
                <w:szCs w:val="24"/>
              </w:rPr>
            </w:pPr>
            <w:r w:rsidRPr="009354BC">
              <w:rPr>
                <w:rFonts w:ascii="Lato" w:hAnsi="Lato"/>
                <w:sz w:val="24"/>
                <w:szCs w:val="24"/>
              </w:rPr>
              <w:t>Prescription of any medication (except those with very high potential to cause harm) without documentation of the indication in the medical records (including where the read code in the consultation does not match the medication issued).</w:t>
            </w:r>
          </w:p>
          <w:p w:rsidR="008519AA" w:rsidRPr="009354BC" w:rsidRDefault="008519AA" w:rsidP="00FF6D16">
            <w:pPr>
              <w:rPr>
                <w:rFonts w:ascii="Lato" w:hAnsi="Lato"/>
                <w:i/>
                <w:sz w:val="24"/>
                <w:szCs w:val="24"/>
              </w:rPr>
            </w:pPr>
            <w:r w:rsidRPr="009354BC">
              <w:rPr>
                <w:rFonts w:ascii="Lato" w:hAnsi="Lato"/>
                <w:i/>
                <w:sz w:val="24"/>
                <w:szCs w:val="24"/>
              </w:rPr>
              <w:t xml:space="preserve">Example: Nasacort issued in a consultation for a three-day history of a cough with no mention of a blocked nose. </w:t>
            </w:r>
          </w:p>
          <w:p w:rsidR="008519AA" w:rsidRPr="009354BC" w:rsidRDefault="008519AA" w:rsidP="00FF6D16">
            <w:pPr>
              <w:rPr>
                <w:rFonts w:ascii="Lato" w:hAnsi="Lato"/>
                <w:sz w:val="24"/>
                <w:szCs w:val="24"/>
              </w:rPr>
            </w:pPr>
          </w:p>
        </w:tc>
      </w:tr>
      <w:tr w:rsidR="008519AA" w:rsidRPr="009354BC" w:rsidTr="00FF6D16">
        <w:trPr>
          <w:trHeight w:val="480"/>
        </w:trPr>
        <w:tc>
          <w:tcPr>
            <w:tcW w:w="7479" w:type="dxa"/>
          </w:tcPr>
          <w:p w:rsidR="008519AA" w:rsidRPr="009354BC" w:rsidRDefault="008519AA" w:rsidP="00FF6D16">
            <w:pPr>
              <w:rPr>
                <w:rFonts w:ascii="Lato" w:hAnsi="Lato"/>
                <w:sz w:val="24"/>
                <w:szCs w:val="24"/>
              </w:rPr>
            </w:pPr>
            <w:r w:rsidRPr="009354BC">
              <w:rPr>
                <w:rFonts w:ascii="Lato" w:hAnsi="Lato"/>
                <w:sz w:val="24"/>
                <w:szCs w:val="24"/>
              </w:rPr>
              <w:t>Dose conversions for medication that is high risk e.g. opioids at a dose that would appear incorrect but there is not enough documented information to support and clarify the conversion.</w:t>
            </w:r>
          </w:p>
          <w:p w:rsidR="008519AA" w:rsidRPr="009354BC" w:rsidRDefault="008519AA" w:rsidP="00FF6D16">
            <w:pPr>
              <w:rPr>
                <w:rFonts w:ascii="Lato" w:eastAsia="Times New Roman" w:hAnsi="Lato" w:cs="Calibri"/>
                <w:i/>
                <w:color w:val="000000"/>
                <w:sz w:val="24"/>
                <w:szCs w:val="24"/>
                <w:lang w:eastAsia="en-GB"/>
              </w:rPr>
            </w:pPr>
            <w:r w:rsidRPr="009354BC">
              <w:rPr>
                <w:rFonts w:ascii="Lato" w:hAnsi="Lato"/>
                <w:i/>
                <w:sz w:val="24"/>
                <w:szCs w:val="24"/>
              </w:rPr>
              <w:t>Example: Conversion of Oramorph</w:t>
            </w:r>
            <w:r w:rsidRPr="009354BC">
              <w:rPr>
                <w:rFonts w:ascii="Lato" w:hAnsi="Lato" w:cstheme="minorHAnsi"/>
                <w:i/>
                <w:sz w:val="24"/>
                <w:szCs w:val="24"/>
              </w:rPr>
              <w:t>®</w:t>
            </w:r>
            <w:r w:rsidRPr="009354BC">
              <w:rPr>
                <w:rFonts w:ascii="Lato" w:hAnsi="Lato"/>
                <w:i/>
                <w:sz w:val="24"/>
                <w:szCs w:val="24"/>
              </w:rPr>
              <w:t xml:space="preserve"> to MST</w:t>
            </w:r>
            <w:r w:rsidRPr="009354BC">
              <w:rPr>
                <w:rFonts w:ascii="Lato" w:hAnsi="Lato" w:cstheme="minorHAnsi"/>
                <w:i/>
                <w:sz w:val="24"/>
                <w:szCs w:val="24"/>
              </w:rPr>
              <w:t>®</w:t>
            </w:r>
            <w:r w:rsidRPr="009354BC">
              <w:rPr>
                <w:rFonts w:ascii="Lato" w:hAnsi="Lato"/>
                <w:i/>
                <w:sz w:val="24"/>
                <w:szCs w:val="24"/>
              </w:rPr>
              <w:t xml:space="preserve"> at a dose that is significantly below that expected to provide adequate pain relief without documentation of current usage or supporting reason for the low dosage </w:t>
            </w:r>
          </w:p>
        </w:tc>
        <w:tc>
          <w:tcPr>
            <w:tcW w:w="7307" w:type="dxa"/>
          </w:tcPr>
          <w:p w:rsidR="008519AA" w:rsidRPr="009354BC" w:rsidRDefault="008519AA" w:rsidP="00FF6D16">
            <w:pPr>
              <w:rPr>
                <w:rFonts w:ascii="Lato" w:eastAsia="Times New Roman" w:hAnsi="Lato" w:cstheme="minorHAnsi"/>
                <w:sz w:val="24"/>
                <w:szCs w:val="24"/>
                <w:lang w:eastAsia="en-GB"/>
              </w:rPr>
            </w:pPr>
            <w:r w:rsidRPr="009354BC">
              <w:rPr>
                <w:rFonts w:ascii="Lato" w:eastAsia="Times New Roman" w:hAnsi="Lato" w:cstheme="minorHAnsi"/>
                <w:sz w:val="24"/>
                <w:szCs w:val="24"/>
                <w:lang w:eastAsia="en-GB"/>
              </w:rPr>
              <w:t>Failure to document the current dose and treatment plan for a patient known to be reducing medication who has been reviewed face to face and for whom further medication supplies have been issued.</w:t>
            </w:r>
          </w:p>
        </w:tc>
      </w:tr>
      <w:tr w:rsidR="008519AA" w:rsidRPr="009354BC" w:rsidTr="00FF6D16">
        <w:trPr>
          <w:trHeight w:val="480"/>
        </w:trPr>
        <w:tc>
          <w:tcPr>
            <w:tcW w:w="7479" w:type="dxa"/>
          </w:tcPr>
          <w:p w:rsidR="008519AA" w:rsidRPr="009354BC" w:rsidRDefault="008519AA" w:rsidP="00FF6D16">
            <w:pPr>
              <w:rPr>
                <w:rFonts w:ascii="Lato" w:eastAsia="Times New Roman" w:hAnsi="Lato" w:cs="Calibri"/>
                <w:color w:val="000000"/>
                <w:sz w:val="24"/>
                <w:szCs w:val="24"/>
                <w:lang w:eastAsia="en-GB"/>
              </w:rPr>
            </w:pPr>
          </w:p>
        </w:tc>
        <w:tc>
          <w:tcPr>
            <w:tcW w:w="7307" w:type="dxa"/>
          </w:tcPr>
          <w:p w:rsidR="008519AA" w:rsidRPr="009354BC" w:rsidRDefault="008519AA" w:rsidP="00FF6D16">
            <w:pPr>
              <w:rPr>
                <w:rFonts w:ascii="Lato" w:hAnsi="Lato" w:cs="Calibri"/>
                <w:color w:val="000000"/>
                <w:sz w:val="24"/>
                <w:szCs w:val="18"/>
              </w:rPr>
            </w:pPr>
            <w:r w:rsidRPr="009354BC">
              <w:rPr>
                <w:rFonts w:ascii="Lato" w:hAnsi="Lato" w:cs="Calibri"/>
                <w:color w:val="000000"/>
                <w:sz w:val="24"/>
                <w:szCs w:val="18"/>
              </w:rPr>
              <w:t xml:space="preserve">Prescribing medication as a handwritten script e.g. at a home visit and documenting the issue in the clinical notes but not </w:t>
            </w:r>
            <w:r w:rsidRPr="009354BC">
              <w:rPr>
                <w:rFonts w:ascii="Lato" w:hAnsi="Lato" w:cs="Calibri"/>
                <w:color w:val="000000"/>
                <w:sz w:val="24"/>
                <w:szCs w:val="18"/>
              </w:rPr>
              <w:lastRenderedPageBreak/>
              <w:t>adding the medication to the medication screens on the computer.</w:t>
            </w:r>
          </w:p>
          <w:p w:rsidR="008519AA" w:rsidRPr="009354BC" w:rsidRDefault="008519AA" w:rsidP="00FF6D16">
            <w:pPr>
              <w:rPr>
                <w:rFonts w:ascii="Lato" w:hAnsi="Lato" w:cs="Calibri"/>
                <w:color w:val="000000"/>
                <w:sz w:val="24"/>
                <w:szCs w:val="24"/>
              </w:rPr>
            </w:pPr>
          </w:p>
        </w:tc>
      </w:tr>
      <w:tr w:rsidR="008519AA" w:rsidRPr="009354BC" w:rsidTr="00FF6D16">
        <w:trPr>
          <w:trHeight w:val="480"/>
        </w:trPr>
        <w:tc>
          <w:tcPr>
            <w:tcW w:w="7479" w:type="dxa"/>
          </w:tcPr>
          <w:p w:rsidR="008519AA" w:rsidRPr="009354BC" w:rsidRDefault="008519AA" w:rsidP="00FF6D16">
            <w:pPr>
              <w:rPr>
                <w:rFonts w:ascii="Lato" w:eastAsia="Times New Roman" w:hAnsi="Lato" w:cs="Calibri"/>
                <w:color w:val="000000"/>
                <w:sz w:val="24"/>
                <w:szCs w:val="24"/>
                <w:lang w:eastAsia="en-GB"/>
              </w:rPr>
            </w:pPr>
          </w:p>
        </w:tc>
        <w:tc>
          <w:tcPr>
            <w:tcW w:w="7307" w:type="dxa"/>
          </w:tcPr>
          <w:p w:rsidR="008519AA" w:rsidRPr="009354BC" w:rsidRDefault="008519AA" w:rsidP="00FF6D16">
            <w:pPr>
              <w:rPr>
                <w:rFonts w:ascii="Lato" w:hAnsi="Lato" w:cs="Calibri"/>
                <w:color w:val="000000"/>
                <w:sz w:val="18"/>
                <w:szCs w:val="18"/>
              </w:rPr>
            </w:pPr>
            <w:r w:rsidRPr="009354BC">
              <w:rPr>
                <w:rFonts w:ascii="Lato" w:hAnsi="Lato" w:cs="Calibri"/>
                <w:color w:val="000000"/>
                <w:sz w:val="24"/>
                <w:szCs w:val="18"/>
              </w:rPr>
              <w:t>Failure to add or remove sensitivities/allergies from the clinical computer system as they are identified.</w:t>
            </w:r>
          </w:p>
          <w:p w:rsidR="008519AA" w:rsidRPr="009354BC" w:rsidRDefault="008519AA" w:rsidP="00FF6D16">
            <w:pPr>
              <w:rPr>
                <w:rFonts w:ascii="Lato" w:hAnsi="Lato" w:cs="Calibri"/>
                <w:color w:val="000000"/>
                <w:sz w:val="24"/>
                <w:szCs w:val="24"/>
              </w:rPr>
            </w:pPr>
          </w:p>
        </w:tc>
      </w:tr>
      <w:tr w:rsidR="008519AA" w:rsidRPr="009354BC" w:rsidTr="00FF6D16">
        <w:trPr>
          <w:trHeight w:val="480"/>
        </w:trPr>
        <w:tc>
          <w:tcPr>
            <w:tcW w:w="7479" w:type="dxa"/>
          </w:tcPr>
          <w:p w:rsidR="008519AA" w:rsidRPr="009354BC" w:rsidRDefault="008519AA" w:rsidP="00FF6D16">
            <w:pPr>
              <w:rPr>
                <w:rFonts w:ascii="Lato" w:eastAsia="Times New Roman" w:hAnsi="Lato" w:cs="Calibri"/>
                <w:color w:val="000000"/>
                <w:sz w:val="24"/>
                <w:szCs w:val="24"/>
                <w:lang w:eastAsia="en-GB"/>
              </w:rPr>
            </w:pPr>
          </w:p>
        </w:tc>
        <w:tc>
          <w:tcPr>
            <w:tcW w:w="7307" w:type="dxa"/>
          </w:tcPr>
          <w:p w:rsidR="008519AA" w:rsidRPr="009354BC" w:rsidRDefault="008519AA" w:rsidP="00FF6D16">
            <w:pPr>
              <w:rPr>
                <w:rFonts w:ascii="Lato" w:hAnsi="Lato" w:cs="Calibri"/>
                <w:i/>
                <w:color w:val="000000"/>
                <w:sz w:val="24"/>
                <w:szCs w:val="18"/>
              </w:rPr>
            </w:pPr>
            <w:r w:rsidRPr="009354BC">
              <w:rPr>
                <w:rFonts w:ascii="Lato" w:hAnsi="Lato" w:cs="Calibri"/>
                <w:color w:val="000000"/>
                <w:sz w:val="24"/>
                <w:szCs w:val="18"/>
              </w:rPr>
              <w:t>Failure to prescribe concomitant medication but were it is considered that extra advice or assessment could have been given but not documented.</w:t>
            </w:r>
            <w:r w:rsidRPr="009354BC">
              <w:rPr>
                <w:rFonts w:ascii="Lato" w:hAnsi="Lato"/>
              </w:rPr>
              <w:t xml:space="preserve"> </w:t>
            </w:r>
            <w:r w:rsidRPr="009354BC">
              <w:rPr>
                <w:rFonts w:ascii="Lato" w:hAnsi="Lato"/>
                <w:i/>
              </w:rPr>
              <w:t xml:space="preserve">Example: </w:t>
            </w:r>
            <w:r w:rsidRPr="009354BC">
              <w:rPr>
                <w:rFonts w:ascii="Lato" w:hAnsi="Lato" w:cs="Calibri"/>
                <w:i/>
                <w:color w:val="000000"/>
                <w:sz w:val="24"/>
                <w:szCs w:val="18"/>
              </w:rPr>
              <w:t>prescribing Betnovate® for hand eczema without current prescription for emollient</w:t>
            </w:r>
          </w:p>
          <w:p w:rsidR="008519AA" w:rsidRPr="009354BC" w:rsidRDefault="008519AA" w:rsidP="00FF6D16">
            <w:pPr>
              <w:rPr>
                <w:rFonts w:ascii="Lato" w:hAnsi="Lato" w:cs="Calibri"/>
                <w:color w:val="000000"/>
                <w:sz w:val="24"/>
                <w:szCs w:val="24"/>
              </w:rPr>
            </w:pPr>
          </w:p>
        </w:tc>
      </w:tr>
    </w:tbl>
    <w:p w:rsidR="008519AA" w:rsidRPr="009354BC" w:rsidRDefault="008519AA" w:rsidP="008519AA">
      <w:pPr>
        <w:rPr>
          <w:rFonts w:ascii="Lato" w:hAnsi="Lato"/>
        </w:rPr>
      </w:pPr>
    </w:p>
    <w:p w:rsidR="008519AA" w:rsidRPr="009354BC" w:rsidRDefault="008519AA" w:rsidP="008519AA">
      <w:pPr>
        <w:rPr>
          <w:rFonts w:ascii="Lato" w:hAnsi="Lato"/>
          <w:b/>
          <w:sz w:val="28"/>
        </w:rPr>
      </w:pPr>
      <w:r w:rsidRPr="009354BC">
        <w:rPr>
          <w:rFonts w:ascii="Lato" w:hAnsi="Lato"/>
          <w:b/>
          <w:sz w:val="28"/>
        </w:rPr>
        <w:t xml:space="preserve">Right Review </w:t>
      </w:r>
    </w:p>
    <w:tbl>
      <w:tblPr>
        <w:tblStyle w:val="TableGrid"/>
        <w:tblW w:w="0" w:type="auto"/>
        <w:tblLook w:val="04A0" w:firstRow="1" w:lastRow="0" w:firstColumn="1" w:lastColumn="0" w:noHBand="0" w:noVBand="1"/>
      </w:tblPr>
      <w:tblGrid>
        <w:gridCol w:w="7796"/>
        <w:gridCol w:w="6154"/>
      </w:tblGrid>
      <w:tr w:rsidR="008519AA" w:rsidRPr="009354BC" w:rsidTr="00FF6D16">
        <w:trPr>
          <w:trHeight w:val="512"/>
        </w:trPr>
        <w:tc>
          <w:tcPr>
            <w:tcW w:w="0" w:type="auto"/>
          </w:tcPr>
          <w:p w:rsidR="008519AA" w:rsidRPr="009354BC" w:rsidRDefault="008519AA" w:rsidP="00FF6D16">
            <w:pPr>
              <w:jc w:val="center"/>
              <w:rPr>
                <w:rFonts w:ascii="Lato" w:hAnsi="Lato"/>
                <w:b/>
                <w:sz w:val="28"/>
                <w:szCs w:val="24"/>
              </w:rPr>
            </w:pPr>
            <w:r w:rsidRPr="009354BC">
              <w:rPr>
                <w:rFonts w:ascii="Lato" w:hAnsi="Lato"/>
                <w:b/>
                <w:sz w:val="28"/>
                <w:szCs w:val="24"/>
              </w:rPr>
              <w:t>Prescribing error</w:t>
            </w:r>
          </w:p>
        </w:tc>
        <w:tc>
          <w:tcPr>
            <w:tcW w:w="0" w:type="auto"/>
          </w:tcPr>
          <w:p w:rsidR="008519AA" w:rsidRPr="009354BC" w:rsidRDefault="008519AA" w:rsidP="00FF6D16">
            <w:pPr>
              <w:jc w:val="center"/>
              <w:rPr>
                <w:rFonts w:ascii="Lato" w:hAnsi="Lato"/>
                <w:b/>
                <w:sz w:val="28"/>
                <w:szCs w:val="24"/>
              </w:rPr>
            </w:pPr>
            <w:r w:rsidRPr="009354BC">
              <w:rPr>
                <w:rFonts w:ascii="Lato" w:hAnsi="Lato"/>
                <w:b/>
                <w:sz w:val="28"/>
                <w:szCs w:val="24"/>
              </w:rPr>
              <w:t>Sub-optimal prescribing event</w:t>
            </w:r>
          </w:p>
        </w:tc>
      </w:tr>
      <w:tr w:rsidR="008519AA" w:rsidRPr="009354BC" w:rsidTr="00FF6D16">
        <w:trPr>
          <w:trHeight w:val="1015"/>
        </w:trPr>
        <w:tc>
          <w:tcPr>
            <w:tcW w:w="0" w:type="auto"/>
          </w:tcPr>
          <w:p w:rsidR="008519AA" w:rsidRPr="009354BC" w:rsidRDefault="008519AA" w:rsidP="00FF6D16">
            <w:pPr>
              <w:rPr>
                <w:rFonts w:ascii="Lato" w:hAnsi="Lato"/>
                <w:sz w:val="24"/>
                <w:szCs w:val="24"/>
              </w:rPr>
            </w:pPr>
            <w:r w:rsidRPr="009354BC">
              <w:rPr>
                <w:rFonts w:ascii="Lato" w:hAnsi="Lato"/>
                <w:sz w:val="24"/>
                <w:szCs w:val="24"/>
              </w:rPr>
              <w:t xml:space="preserve">Failing to undertake the required review/discussion on a medication known to be high risk. </w:t>
            </w:r>
          </w:p>
          <w:p w:rsidR="008519AA" w:rsidRPr="009354BC" w:rsidRDefault="008519AA" w:rsidP="00FF6D16">
            <w:pPr>
              <w:rPr>
                <w:rFonts w:ascii="Lato" w:hAnsi="Lato"/>
                <w:i/>
                <w:sz w:val="24"/>
                <w:szCs w:val="24"/>
              </w:rPr>
            </w:pPr>
            <w:r w:rsidRPr="009354BC">
              <w:rPr>
                <w:rFonts w:ascii="Lato" w:hAnsi="Lato"/>
                <w:i/>
                <w:sz w:val="24"/>
                <w:szCs w:val="24"/>
              </w:rPr>
              <w:lastRenderedPageBreak/>
              <w:t>Example: HRT prescribed for a 60-year-old woman.  Nil in notes to say continued use and risks had been discussed.  Last reviewed 1 year ago so review now due.</w:t>
            </w:r>
          </w:p>
        </w:tc>
        <w:tc>
          <w:tcPr>
            <w:tcW w:w="0" w:type="auto"/>
          </w:tcPr>
          <w:p w:rsidR="008519AA" w:rsidRPr="009354BC" w:rsidRDefault="008519AA" w:rsidP="00FF6D16">
            <w:pPr>
              <w:rPr>
                <w:rFonts w:ascii="Lato" w:hAnsi="Lato"/>
                <w:sz w:val="24"/>
                <w:szCs w:val="24"/>
              </w:rPr>
            </w:pPr>
            <w:r w:rsidRPr="009354BC">
              <w:rPr>
                <w:rFonts w:ascii="Lato" w:hAnsi="Lato"/>
                <w:sz w:val="24"/>
                <w:szCs w:val="24"/>
              </w:rPr>
              <w:lastRenderedPageBreak/>
              <w:t>Failing to undertake the required review on a medication where the harm is likely to be low.</w:t>
            </w:r>
          </w:p>
          <w:p w:rsidR="008519AA" w:rsidRPr="009354BC" w:rsidRDefault="008519AA" w:rsidP="00FF6D16">
            <w:pPr>
              <w:rPr>
                <w:rFonts w:ascii="Lato" w:hAnsi="Lato"/>
                <w:i/>
                <w:sz w:val="24"/>
                <w:szCs w:val="24"/>
              </w:rPr>
            </w:pPr>
            <w:r w:rsidRPr="009354BC">
              <w:rPr>
                <w:rFonts w:ascii="Lato" w:hAnsi="Lato"/>
                <w:i/>
                <w:sz w:val="24"/>
                <w:szCs w:val="24"/>
              </w:rPr>
              <w:lastRenderedPageBreak/>
              <w:t>Example: Patient taking Marvelon</w:t>
            </w:r>
            <w:r w:rsidRPr="009354BC">
              <w:rPr>
                <w:rFonts w:ascii="Lato" w:hAnsi="Lato" w:cstheme="minorHAnsi"/>
                <w:i/>
                <w:sz w:val="24"/>
                <w:szCs w:val="24"/>
              </w:rPr>
              <w:t>®</w:t>
            </w:r>
            <w:r w:rsidRPr="009354BC">
              <w:rPr>
                <w:rFonts w:ascii="Lato" w:hAnsi="Lato"/>
                <w:i/>
                <w:sz w:val="24"/>
                <w:szCs w:val="24"/>
              </w:rPr>
              <w:t xml:space="preserve"> with no checks in place for 15 months.</w:t>
            </w:r>
          </w:p>
        </w:tc>
      </w:tr>
      <w:tr w:rsidR="008519AA" w:rsidRPr="009354BC" w:rsidTr="00FF6D16">
        <w:trPr>
          <w:trHeight w:val="480"/>
        </w:trPr>
        <w:tc>
          <w:tcPr>
            <w:tcW w:w="0" w:type="auto"/>
          </w:tcPr>
          <w:p w:rsidR="008519AA" w:rsidRPr="009354BC" w:rsidRDefault="008519AA" w:rsidP="00FF6D16">
            <w:pPr>
              <w:rPr>
                <w:rFonts w:ascii="Lato" w:eastAsia="Times New Roman" w:hAnsi="Lato" w:cs="Calibri"/>
                <w:color w:val="000000"/>
                <w:sz w:val="24"/>
                <w:szCs w:val="24"/>
                <w:lang w:eastAsia="en-GB"/>
              </w:rPr>
            </w:pPr>
            <w:r w:rsidRPr="009354BC">
              <w:rPr>
                <w:rFonts w:ascii="Lato" w:eastAsia="Times New Roman" w:hAnsi="Lato" w:cs="Calibri"/>
                <w:color w:val="000000"/>
                <w:sz w:val="24"/>
                <w:szCs w:val="24"/>
                <w:lang w:eastAsia="en-GB"/>
              </w:rPr>
              <w:lastRenderedPageBreak/>
              <w:t>Failure to consider changes to guidelines that mean the patient is on less effective treatment than currently recommended.</w:t>
            </w:r>
          </w:p>
          <w:p w:rsidR="008519AA" w:rsidRPr="009354BC" w:rsidRDefault="008519AA" w:rsidP="00FF6D16">
            <w:pPr>
              <w:rPr>
                <w:rFonts w:ascii="Lato" w:eastAsia="Times New Roman" w:hAnsi="Lato" w:cs="Calibri"/>
                <w:i/>
                <w:color w:val="000000"/>
                <w:sz w:val="24"/>
                <w:szCs w:val="24"/>
                <w:lang w:eastAsia="en-GB"/>
              </w:rPr>
            </w:pPr>
            <w:r w:rsidRPr="009354BC">
              <w:rPr>
                <w:rFonts w:ascii="Lato" w:eastAsia="Times New Roman" w:hAnsi="Lato" w:cs="Calibri"/>
                <w:i/>
                <w:color w:val="000000"/>
                <w:sz w:val="24"/>
                <w:szCs w:val="24"/>
                <w:lang w:eastAsia="en-GB"/>
              </w:rPr>
              <w:t>Example: Aspirin prescribed alone for CVA.  Nothing in the clinical record regarding aspirin or a discussion regarding switching to clopidogrel as a more effective medication.</w:t>
            </w:r>
          </w:p>
        </w:tc>
        <w:tc>
          <w:tcPr>
            <w:tcW w:w="0" w:type="auto"/>
          </w:tcPr>
          <w:p w:rsidR="008519AA" w:rsidRPr="009354BC" w:rsidRDefault="008519AA" w:rsidP="00FF6D16">
            <w:pPr>
              <w:rPr>
                <w:rFonts w:ascii="Lato" w:eastAsia="Times New Roman" w:hAnsi="Lato" w:cstheme="minorHAnsi"/>
                <w:sz w:val="24"/>
                <w:szCs w:val="24"/>
                <w:lang w:eastAsia="en-GB"/>
              </w:rPr>
            </w:pPr>
            <w:r w:rsidRPr="009354BC">
              <w:rPr>
                <w:rFonts w:ascii="Lato" w:eastAsia="Times New Roman" w:hAnsi="Lato" w:cstheme="minorHAnsi"/>
                <w:sz w:val="24"/>
                <w:szCs w:val="24"/>
                <w:lang w:eastAsia="en-GB"/>
              </w:rPr>
              <w:t>Failure to identify poor adherence to medications before issuing a further supply where the patient was not showing clinical signs of deterioration.</w:t>
            </w:r>
          </w:p>
          <w:p w:rsidR="008519AA" w:rsidRPr="009354BC" w:rsidRDefault="008519AA" w:rsidP="00FF6D16">
            <w:pPr>
              <w:rPr>
                <w:rFonts w:ascii="Lato" w:eastAsia="Times New Roman" w:hAnsi="Lato" w:cstheme="minorHAnsi"/>
                <w:i/>
                <w:sz w:val="24"/>
                <w:szCs w:val="24"/>
                <w:lang w:eastAsia="en-GB"/>
              </w:rPr>
            </w:pPr>
            <w:r w:rsidRPr="009354BC">
              <w:rPr>
                <w:rFonts w:ascii="Lato" w:eastAsia="Times New Roman" w:hAnsi="Lato" w:cstheme="minorHAnsi"/>
                <w:i/>
                <w:sz w:val="24"/>
                <w:szCs w:val="24"/>
                <w:lang w:eastAsia="en-GB"/>
              </w:rPr>
              <w:t xml:space="preserve">Example: Patient collecting ICS inhaler regularly but not </w:t>
            </w:r>
            <w:proofErr w:type="gramStart"/>
            <w:r w:rsidRPr="009354BC">
              <w:rPr>
                <w:rFonts w:ascii="Lato" w:eastAsia="Times New Roman" w:hAnsi="Lato" w:cstheme="minorHAnsi"/>
                <w:i/>
                <w:sz w:val="24"/>
                <w:szCs w:val="24"/>
                <w:lang w:eastAsia="en-GB"/>
              </w:rPr>
              <w:t>LABA  and</w:t>
            </w:r>
            <w:proofErr w:type="gramEnd"/>
            <w:r w:rsidRPr="009354BC">
              <w:rPr>
                <w:rFonts w:ascii="Lato" w:eastAsia="Times New Roman" w:hAnsi="Lato" w:cstheme="minorHAnsi"/>
                <w:i/>
                <w:sz w:val="24"/>
                <w:szCs w:val="24"/>
                <w:lang w:eastAsia="en-GB"/>
              </w:rPr>
              <w:t xml:space="preserve"> no mention of adherence and therefore stepping down or combination inhaler.</w:t>
            </w:r>
          </w:p>
          <w:p w:rsidR="008519AA" w:rsidRPr="009354BC" w:rsidRDefault="008519AA" w:rsidP="00FF6D16">
            <w:pPr>
              <w:rPr>
                <w:rFonts w:ascii="Lato" w:eastAsia="Times New Roman" w:hAnsi="Lato" w:cstheme="minorHAnsi"/>
                <w:sz w:val="24"/>
                <w:szCs w:val="24"/>
                <w:lang w:eastAsia="en-GB"/>
              </w:rPr>
            </w:pPr>
          </w:p>
        </w:tc>
      </w:tr>
      <w:tr w:rsidR="008519AA" w:rsidRPr="009354BC" w:rsidTr="00FF6D16">
        <w:trPr>
          <w:trHeight w:val="480"/>
        </w:trPr>
        <w:tc>
          <w:tcPr>
            <w:tcW w:w="0" w:type="auto"/>
          </w:tcPr>
          <w:p w:rsidR="008519AA" w:rsidRPr="009354BC" w:rsidRDefault="008519AA" w:rsidP="00FF6D16">
            <w:pPr>
              <w:rPr>
                <w:rFonts w:ascii="Lato" w:eastAsia="Times New Roman" w:hAnsi="Lato" w:cstheme="minorHAnsi"/>
                <w:sz w:val="24"/>
                <w:szCs w:val="24"/>
                <w:lang w:eastAsia="en-GB"/>
              </w:rPr>
            </w:pPr>
            <w:r w:rsidRPr="009354BC">
              <w:rPr>
                <w:rFonts w:ascii="Lato" w:eastAsia="Times New Roman" w:hAnsi="Lato" w:cstheme="minorHAnsi"/>
                <w:sz w:val="24"/>
                <w:szCs w:val="24"/>
                <w:lang w:eastAsia="en-GB"/>
              </w:rPr>
              <w:t>Failure to identify poor adherence to medications before issuing a further supply where the risk of harm to the patient is high.</w:t>
            </w:r>
          </w:p>
          <w:p w:rsidR="008519AA" w:rsidRPr="009354BC" w:rsidRDefault="008519AA" w:rsidP="00FF6D16">
            <w:pPr>
              <w:rPr>
                <w:rFonts w:ascii="Lato" w:eastAsia="Times New Roman" w:hAnsi="Lato" w:cstheme="minorHAnsi"/>
                <w:i/>
                <w:sz w:val="24"/>
                <w:szCs w:val="24"/>
                <w:lang w:eastAsia="en-GB"/>
              </w:rPr>
            </w:pPr>
            <w:r w:rsidRPr="009354BC">
              <w:rPr>
                <w:rFonts w:ascii="Lato" w:eastAsia="Times New Roman" w:hAnsi="Lato" w:cstheme="minorHAnsi"/>
                <w:i/>
                <w:sz w:val="24"/>
                <w:szCs w:val="24"/>
                <w:lang w:eastAsia="en-GB"/>
              </w:rPr>
              <w:t>Example: Child collecting SABA frequently for asthma and requesting further supply but has not been collecting ICS.  Prescriber does not address inhaler collections before issuing SABA.</w:t>
            </w:r>
          </w:p>
          <w:p w:rsidR="008519AA" w:rsidRPr="009354BC" w:rsidRDefault="008519AA" w:rsidP="00FF6D16">
            <w:pPr>
              <w:rPr>
                <w:rFonts w:ascii="Lato" w:eastAsia="Times New Roman" w:hAnsi="Lato" w:cs="Calibri"/>
                <w:i/>
                <w:color w:val="000000"/>
                <w:sz w:val="24"/>
                <w:szCs w:val="24"/>
                <w:lang w:eastAsia="en-GB"/>
              </w:rPr>
            </w:pPr>
          </w:p>
        </w:tc>
        <w:tc>
          <w:tcPr>
            <w:tcW w:w="0" w:type="auto"/>
          </w:tcPr>
          <w:p w:rsidR="008519AA" w:rsidRPr="009354BC" w:rsidRDefault="008519AA" w:rsidP="00FF6D16">
            <w:pPr>
              <w:rPr>
                <w:rFonts w:ascii="Lato" w:hAnsi="Lato" w:cs="Calibri"/>
                <w:color w:val="000000"/>
                <w:sz w:val="24"/>
                <w:szCs w:val="24"/>
              </w:rPr>
            </w:pPr>
          </w:p>
        </w:tc>
      </w:tr>
    </w:tbl>
    <w:p w:rsidR="008519AA" w:rsidRPr="009354BC" w:rsidRDefault="008519AA" w:rsidP="008519AA">
      <w:pPr>
        <w:rPr>
          <w:rFonts w:ascii="Lato" w:hAnsi="Lato"/>
        </w:rPr>
      </w:pPr>
    </w:p>
    <w:p w:rsidR="002051F6" w:rsidRPr="009354BC" w:rsidRDefault="002051F6">
      <w:pPr>
        <w:rPr>
          <w:rFonts w:ascii="Lato" w:hAnsi="Lato"/>
        </w:rPr>
      </w:pPr>
    </w:p>
    <w:sectPr w:rsidR="002051F6" w:rsidRPr="009354BC" w:rsidSect="00F342F5">
      <w:headerReference w:type="first" r:id="rId6"/>
      <w:pgSz w:w="16840" w:h="11900"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CE0" w:rsidRDefault="00E05CE0" w:rsidP="00F342F5">
      <w:pPr>
        <w:spacing w:after="0" w:line="240" w:lineRule="auto"/>
      </w:pPr>
      <w:r>
        <w:separator/>
      </w:r>
    </w:p>
  </w:endnote>
  <w:endnote w:type="continuationSeparator" w:id="0">
    <w:p w:rsidR="00E05CE0" w:rsidRDefault="00E05CE0" w:rsidP="00F3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CE0" w:rsidRDefault="00E05CE0" w:rsidP="00F342F5">
      <w:pPr>
        <w:spacing w:after="0" w:line="240" w:lineRule="auto"/>
      </w:pPr>
      <w:r>
        <w:separator/>
      </w:r>
    </w:p>
  </w:footnote>
  <w:footnote w:type="continuationSeparator" w:id="0">
    <w:p w:rsidR="00E05CE0" w:rsidRDefault="00E05CE0" w:rsidP="00F34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2F5" w:rsidRDefault="00F342F5">
    <w:pPr>
      <w:pStyle w:val="Header"/>
    </w:pPr>
    <w:r>
      <w:rPr>
        <w:noProof/>
      </w:rPr>
      <w:drawing>
        <wp:anchor distT="0" distB="0" distL="114300" distR="114300" simplePos="0" relativeHeight="251659264" behindDoc="0" locked="0" layoutInCell="1" allowOverlap="1" wp14:anchorId="524A8660" wp14:editId="1011E061">
          <wp:simplePos x="0" y="0"/>
          <wp:positionH relativeFrom="column">
            <wp:posOffset>7543800</wp:posOffset>
          </wp:positionH>
          <wp:positionV relativeFrom="paragraph">
            <wp:posOffset>-335280</wp:posOffset>
          </wp:positionV>
          <wp:extent cx="2051685" cy="683895"/>
          <wp:effectExtent l="0" t="0" r="5715" b="1905"/>
          <wp:wrapSquare wrapText="left"/>
          <wp:docPr id="6" name="Picture 6" descr="RCG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GP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838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AA"/>
    <w:rsid w:val="000054B7"/>
    <w:rsid w:val="002051F6"/>
    <w:rsid w:val="00211BFB"/>
    <w:rsid w:val="008519AA"/>
    <w:rsid w:val="009354BC"/>
    <w:rsid w:val="00E05CE0"/>
    <w:rsid w:val="00F3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5FE67D4-5783-FC4B-872D-61FD8612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9AA"/>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9A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42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42F5"/>
    <w:rPr>
      <w:rFonts w:eastAsiaTheme="minorHAnsi"/>
      <w:sz w:val="22"/>
      <w:szCs w:val="22"/>
      <w:lang w:val="en-GB"/>
    </w:rPr>
  </w:style>
  <w:style w:type="paragraph" w:styleId="Footer">
    <w:name w:val="footer"/>
    <w:basedOn w:val="Normal"/>
    <w:link w:val="FooterChar"/>
    <w:uiPriority w:val="99"/>
    <w:unhideWhenUsed/>
    <w:rsid w:val="00F342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42F5"/>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2035</Words>
  <Characters>11601</Characters>
  <Application>Microsoft Office Word</Application>
  <DocSecurity>0</DocSecurity>
  <Lines>96</Lines>
  <Paragraphs>27</Paragraphs>
  <ScaleCrop>false</ScaleCrop>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Bodgener</dc:creator>
  <cp:keywords/>
  <dc:description/>
  <cp:lastModifiedBy>Tom Anstey</cp:lastModifiedBy>
  <cp:revision>3</cp:revision>
  <dcterms:created xsi:type="dcterms:W3CDTF">2020-08-04T15:17:00Z</dcterms:created>
  <dcterms:modified xsi:type="dcterms:W3CDTF">2020-10-07T12:17:00Z</dcterms:modified>
</cp:coreProperties>
</file>